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B3B7" w14:textId="77777777" w:rsidR="00AF7329" w:rsidRPr="00AF7329" w:rsidRDefault="00AF7329" w:rsidP="00AF7329">
      <w:pPr>
        <w:spacing w:before="120" w:after="120" w:line="240" w:lineRule="auto"/>
        <w:jc w:val="both"/>
        <w:outlineLvl w:val="0"/>
        <w:rPr>
          <w:rFonts w:ascii="Arial Narrow" w:eastAsia="Calibri" w:hAnsi="Arial Narrow" w:cs="Times New Roman"/>
          <w:b/>
          <w:bCs/>
          <w:i/>
          <w:color w:val="5F6062"/>
          <w:sz w:val="22"/>
          <w:szCs w:val="24"/>
        </w:rPr>
      </w:pPr>
      <w:bookmarkStart w:id="0" w:name="_Toc485797714"/>
      <w:bookmarkStart w:id="1" w:name="_Toc485807664"/>
      <w:bookmarkStart w:id="2" w:name="_Toc485821686"/>
      <w:bookmarkStart w:id="3" w:name="_Toc485835230"/>
      <w:r w:rsidRPr="00AF7329">
        <w:rPr>
          <w:rFonts w:ascii="Arial Narrow" w:eastAsia="Calibri" w:hAnsi="Arial Narrow" w:cs="Times New Roman"/>
          <w:b/>
          <w:bCs/>
          <w:i/>
          <w:color w:val="5F6062"/>
          <w:sz w:val="22"/>
          <w:szCs w:val="24"/>
        </w:rPr>
        <w:t>Summary</w:t>
      </w:r>
      <w:bookmarkEnd w:id="0"/>
      <w:bookmarkEnd w:id="1"/>
      <w:bookmarkEnd w:id="2"/>
      <w:bookmarkEnd w:id="3"/>
    </w:p>
    <w:p w14:paraId="78137C39" w14:textId="123F7429" w:rsidR="00AF7329" w:rsidRPr="00AF7329" w:rsidRDefault="00AF7329" w:rsidP="00AF7329">
      <w:pPr>
        <w:spacing w:after="0" w:line="240" w:lineRule="auto"/>
        <w:jc w:val="both"/>
        <w:rPr>
          <w:rFonts w:ascii="Arial" w:eastAsia="Times New Roman" w:hAnsi="Arial" w:cs="Arial"/>
          <w:sz w:val="20"/>
          <w:szCs w:val="20"/>
        </w:rPr>
      </w:pPr>
      <w:r w:rsidRPr="00AF7329">
        <w:rPr>
          <w:rFonts w:ascii="Arial" w:eastAsia="Times New Roman" w:hAnsi="Arial" w:cs="Arial"/>
          <w:sz w:val="20"/>
          <w:szCs w:val="20"/>
        </w:rPr>
        <w:t xml:space="preserve">Dylan is an experienced consultant and a Certified Rate of Return Analyst (CRRA) and Certified Valuation Analyst (CVA). He has served as a consultant for investor-owned and municipal utilities and authorities for </w:t>
      </w:r>
      <w:r w:rsidR="00FD1718">
        <w:rPr>
          <w:rFonts w:ascii="Arial" w:eastAsia="Times New Roman" w:hAnsi="Arial" w:cs="Arial"/>
          <w:sz w:val="20"/>
          <w:szCs w:val="20"/>
        </w:rPr>
        <w:t>10</w:t>
      </w:r>
      <w:r w:rsidRPr="00AF7329">
        <w:rPr>
          <w:rFonts w:ascii="Arial" w:eastAsia="Times New Roman" w:hAnsi="Arial" w:cs="Arial"/>
          <w:sz w:val="20"/>
          <w:szCs w:val="20"/>
        </w:rPr>
        <w:t xml:space="preserve"> years. Dylan has extensive experience in rate of return analyses, class cost of service, rate design, and valuation for regulated public utilities. He has testified as an expert witness in the subjects of rate of return, cost of service, rate design, and valuation </w:t>
      </w:r>
      <w:r w:rsidR="001A5771">
        <w:rPr>
          <w:rFonts w:ascii="Arial" w:eastAsia="Times New Roman" w:hAnsi="Arial" w:cs="Arial"/>
          <w:sz w:val="20"/>
          <w:szCs w:val="20"/>
        </w:rPr>
        <w:t xml:space="preserve">on over 40 occasions </w:t>
      </w:r>
      <w:r w:rsidRPr="00AF7329">
        <w:rPr>
          <w:rFonts w:ascii="Arial" w:eastAsia="Times New Roman" w:hAnsi="Arial" w:cs="Arial"/>
          <w:sz w:val="20"/>
          <w:szCs w:val="20"/>
        </w:rPr>
        <w:t>before 1</w:t>
      </w:r>
      <w:r w:rsidR="00FD1718">
        <w:rPr>
          <w:rFonts w:ascii="Arial" w:eastAsia="Times New Roman" w:hAnsi="Arial" w:cs="Arial"/>
          <w:sz w:val="20"/>
          <w:szCs w:val="20"/>
        </w:rPr>
        <w:t>7</w:t>
      </w:r>
      <w:r w:rsidRPr="00AF7329">
        <w:rPr>
          <w:rFonts w:ascii="Arial" w:eastAsia="Times New Roman" w:hAnsi="Arial" w:cs="Arial"/>
          <w:sz w:val="20"/>
          <w:szCs w:val="20"/>
        </w:rPr>
        <w:t xml:space="preserve"> regulatory commissions in the U.S. and an American Arbitration Association panel.</w:t>
      </w:r>
      <w:r w:rsidR="00882953">
        <w:rPr>
          <w:rFonts w:ascii="Arial" w:eastAsia="Times New Roman" w:hAnsi="Arial" w:cs="Arial"/>
          <w:sz w:val="20"/>
          <w:szCs w:val="20"/>
        </w:rPr>
        <w:t xml:space="preserve"> Dylan has an BA in Economic History from the University of Pennsylvania and an MBA from Rutgers University with concentrations in Finance and International Business.</w:t>
      </w:r>
      <w:bookmarkStart w:id="4" w:name="_GoBack"/>
      <w:bookmarkEnd w:id="4"/>
    </w:p>
    <w:p w14:paraId="1E918395" w14:textId="77777777" w:rsidR="00AF7329" w:rsidRPr="00AF7329" w:rsidRDefault="00AF7329" w:rsidP="00AF7329">
      <w:pPr>
        <w:spacing w:after="0" w:line="240" w:lineRule="auto"/>
        <w:jc w:val="both"/>
        <w:rPr>
          <w:rFonts w:ascii="Arial" w:eastAsia="Times New Roman" w:hAnsi="Arial" w:cs="Arial"/>
          <w:sz w:val="20"/>
          <w:szCs w:val="20"/>
        </w:rPr>
      </w:pPr>
    </w:p>
    <w:p w14:paraId="4F719BC2" w14:textId="7F879F40" w:rsidR="00AF7329" w:rsidRPr="00AF7329" w:rsidRDefault="00AF7329" w:rsidP="00AF7329">
      <w:pPr>
        <w:spacing w:after="0" w:line="240" w:lineRule="auto"/>
        <w:jc w:val="both"/>
        <w:rPr>
          <w:rFonts w:ascii="Arial" w:eastAsia="Times New Roman" w:hAnsi="Arial" w:cs="Arial"/>
          <w:sz w:val="20"/>
          <w:szCs w:val="20"/>
        </w:rPr>
      </w:pPr>
      <w:r w:rsidRPr="00AF7329">
        <w:rPr>
          <w:rFonts w:ascii="Arial" w:eastAsia="Times New Roman" w:hAnsi="Arial" w:cs="Arial"/>
          <w:sz w:val="20"/>
          <w:szCs w:val="20"/>
        </w:rPr>
        <w:t xml:space="preserve">He also maintains the benchmark index against which the Hennessy Gas Utility Mutual Fund performance is measured. </w:t>
      </w:r>
    </w:p>
    <w:p w14:paraId="547136E5" w14:textId="77777777" w:rsidR="00AF7329" w:rsidRPr="00AF7329" w:rsidRDefault="00AF7329" w:rsidP="00AF7329">
      <w:pPr>
        <w:spacing w:before="120" w:after="120" w:line="240" w:lineRule="auto"/>
        <w:jc w:val="both"/>
        <w:outlineLvl w:val="0"/>
        <w:rPr>
          <w:rFonts w:ascii="Arial Narrow" w:eastAsia="Calibri" w:hAnsi="Arial Narrow" w:cs="Times New Roman"/>
          <w:b/>
          <w:bCs/>
          <w:i/>
          <w:color w:val="5F6062"/>
          <w:sz w:val="22"/>
          <w:szCs w:val="24"/>
        </w:rPr>
      </w:pPr>
      <w:bookmarkStart w:id="5" w:name="_Toc485797715"/>
      <w:bookmarkStart w:id="6" w:name="_Toc485807665"/>
      <w:bookmarkStart w:id="7" w:name="_Toc485821687"/>
      <w:bookmarkStart w:id="8" w:name="_Toc485835231"/>
      <w:r w:rsidRPr="00AF7329">
        <w:rPr>
          <w:rFonts w:ascii="Arial Narrow" w:eastAsia="Calibri" w:hAnsi="Arial Narrow" w:cs="Times New Roman"/>
          <w:b/>
          <w:bCs/>
          <w:i/>
          <w:color w:val="5F6062"/>
          <w:sz w:val="22"/>
          <w:szCs w:val="24"/>
        </w:rPr>
        <w:t>Areas of Specialization</w:t>
      </w:r>
      <w:bookmarkEnd w:id="5"/>
      <w:bookmarkEnd w:id="6"/>
      <w:bookmarkEnd w:id="7"/>
      <w:bookmarkEnd w:id="8"/>
    </w:p>
    <w:p w14:paraId="1653CBBB" w14:textId="77777777" w:rsidR="00AF7329" w:rsidRPr="00AF7329" w:rsidRDefault="00AF7329" w:rsidP="00AF7329">
      <w:pPr>
        <w:numPr>
          <w:ilvl w:val="0"/>
          <w:numId w:val="1"/>
        </w:numPr>
        <w:spacing w:after="0" w:line="240" w:lineRule="auto"/>
        <w:jc w:val="both"/>
        <w:rPr>
          <w:rFonts w:ascii="Arial" w:eastAsia="Times New Roman" w:hAnsi="Arial" w:cs="Arial"/>
          <w:sz w:val="20"/>
          <w:szCs w:val="20"/>
        </w:rPr>
        <w:sectPr w:rsidR="00AF7329" w:rsidRPr="00AF7329" w:rsidSect="00EF0315">
          <w:headerReference w:type="default" r:id="rId7"/>
          <w:pgSz w:w="12240" w:h="15840" w:code="1"/>
          <w:pgMar w:top="1080" w:right="1440" w:bottom="990" w:left="1440" w:header="720" w:footer="720" w:gutter="0"/>
          <w:pgNumType w:start="1"/>
          <w:cols w:space="720"/>
          <w:docGrid w:linePitch="299"/>
        </w:sectPr>
      </w:pPr>
    </w:p>
    <w:tbl>
      <w:tblPr>
        <w:tblStyle w:val="TableGrid"/>
        <w:tblW w:w="94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150"/>
        <w:gridCol w:w="3150"/>
      </w:tblGrid>
      <w:tr w:rsidR="00AF7329" w:rsidRPr="00AF7329" w14:paraId="643BEF83" w14:textId="77777777" w:rsidTr="00AF7329">
        <w:tc>
          <w:tcPr>
            <w:tcW w:w="3150" w:type="dxa"/>
          </w:tcPr>
          <w:p w14:paraId="27BB84ED" w14:textId="77777777" w:rsidR="00AF7329" w:rsidRPr="00AF7329" w:rsidRDefault="00AF7329" w:rsidP="00AF7329">
            <w:pPr>
              <w:pStyle w:val="Level1Bullet"/>
            </w:pPr>
            <w:r w:rsidRPr="00AF7329">
              <w:t>Regulation and Rates</w:t>
            </w:r>
          </w:p>
        </w:tc>
        <w:tc>
          <w:tcPr>
            <w:tcW w:w="3150" w:type="dxa"/>
          </w:tcPr>
          <w:p w14:paraId="5FE73038" w14:textId="77777777" w:rsidR="00AF7329" w:rsidRPr="00AF7329" w:rsidRDefault="00AF7329" w:rsidP="00AF7329">
            <w:pPr>
              <w:pStyle w:val="Level1Bullet"/>
            </w:pPr>
            <w:r w:rsidRPr="00AF7329">
              <w:t>Capital Market Risk</w:t>
            </w:r>
          </w:p>
        </w:tc>
        <w:tc>
          <w:tcPr>
            <w:tcW w:w="3150" w:type="dxa"/>
          </w:tcPr>
          <w:p w14:paraId="4331B00E" w14:textId="77777777" w:rsidR="00AF7329" w:rsidRPr="00AF7329" w:rsidRDefault="00AF7329" w:rsidP="00AF7329">
            <w:pPr>
              <w:pStyle w:val="Level1Bullet"/>
            </w:pPr>
            <w:r w:rsidRPr="00AF7329">
              <w:t>Rate of Return</w:t>
            </w:r>
          </w:p>
        </w:tc>
      </w:tr>
      <w:tr w:rsidR="00AF7329" w:rsidRPr="00AF7329" w14:paraId="7333432D" w14:textId="77777777" w:rsidTr="00AF7329">
        <w:tc>
          <w:tcPr>
            <w:tcW w:w="3150" w:type="dxa"/>
          </w:tcPr>
          <w:p w14:paraId="6A605A0A" w14:textId="77777777" w:rsidR="00AF7329" w:rsidRPr="00AF7329" w:rsidRDefault="00AF7329" w:rsidP="00AF7329">
            <w:pPr>
              <w:pStyle w:val="Level1Bullet"/>
            </w:pPr>
            <w:r w:rsidRPr="00AF7329">
              <w:t>Utilities</w:t>
            </w:r>
          </w:p>
        </w:tc>
        <w:tc>
          <w:tcPr>
            <w:tcW w:w="3150" w:type="dxa"/>
          </w:tcPr>
          <w:p w14:paraId="0D6B2F97" w14:textId="77777777" w:rsidR="00AF7329" w:rsidRPr="00AF7329" w:rsidRDefault="00AF7329" w:rsidP="00AF7329">
            <w:pPr>
              <w:pStyle w:val="Level1Bullet"/>
            </w:pPr>
            <w:r w:rsidRPr="00AF7329">
              <w:t>Financial Modeling</w:t>
            </w:r>
          </w:p>
        </w:tc>
        <w:tc>
          <w:tcPr>
            <w:tcW w:w="3150" w:type="dxa"/>
          </w:tcPr>
          <w:p w14:paraId="640D744B" w14:textId="77777777" w:rsidR="00AF7329" w:rsidRPr="00AF7329" w:rsidRDefault="00AF7329" w:rsidP="00AF7329">
            <w:pPr>
              <w:pStyle w:val="Level1Bullet"/>
            </w:pPr>
            <w:r w:rsidRPr="00AF7329">
              <w:t>Cost of Service</w:t>
            </w:r>
          </w:p>
        </w:tc>
      </w:tr>
      <w:tr w:rsidR="00AF7329" w:rsidRPr="00AF7329" w14:paraId="7015154A" w14:textId="77777777" w:rsidTr="00AF7329">
        <w:tc>
          <w:tcPr>
            <w:tcW w:w="3150" w:type="dxa"/>
          </w:tcPr>
          <w:p w14:paraId="10A4FEB3" w14:textId="77777777" w:rsidR="00AF7329" w:rsidRPr="00AF7329" w:rsidRDefault="00AF7329" w:rsidP="00AF7329">
            <w:pPr>
              <w:pStyle w:val="Level1Bullet"/>
            </w:pPr>
            <w:r w:rsidRPr="00AF7329">
              <w:t>Mutual Fund Benchmarking</w:t>
            </w:r>
          </w:p>
        </w:tc>
        <w:tc>
          <w:tcPr>
            <w:tcW w:w="3150" w:type="dxa"/>
          </w:tcPr>
          <w:p w14:paraId="24CBDB7E" w14:textId="77777777" w:rsidR="00AF7329" w:rsidRPr="00AF7329" w:rsidRDefault="00AF7329" w:rsidP="00AF7329">
            <w:pPr>
              <w:pStyle w:val="Level1Bullet"/>
            </w:pPr>
            <w:r w:rsidRPr="00AF7329">
              <w:t>Valuation</w:t>
            </w:r>
            <w:r w:rsidRPr="00AF7329">
              <w:tab/>
            </w:r>
          </w:p>
        </w:tc>
        <w:tc>
          <w:tcPr>
            <w:tcW w:w="3150" w:type="dxa"/>
          </w:tcPr>
          <w:p w14:paraId="3BB028AC" w14:textId="77777777" w:rsidR="00AF7329" w:rsidRPr="00AF7329" w:rsidRDefault="00AF7329" w:rsidP="00AF7329">
            <w:pPr>
              <w:pStyle w:val="Level1Bullet"/>
            </w:pPr>
            <w:r w:rsidRPr="00AF7329">
              <w:t>Rate Design</w:t>
            </w:r>
          </w:p>
        </w:tc>
      </w:tr>
      <w:tr w:rsidR="00AF7329" w:rsidRPr="00AF7329" w14:paraId="0D20CF9C" w14:textId="77777777" w:rsidTr="00AF7329">
        <w:tc>
          <w:tcPr>
            <w:tcW w:w="3150" w:type="dxa"/>
          </w:tcPr>
          <w:p w14:paraId="73DEAAAC" w14:textId="77777777" w:rsidR="00AF7329" w:rsidRPr="00AF7329" w:rsidRDefault="00AF7329" w:rsidP="00AF7329">
            <w:pPr>
              <w:pStyle w:val="Level1Bullet"/>
            </w:pPr>
            <w:r w:rsidRPr="00AF7329">
              <w:t>Capital Market Risk</w:t>
            </w:r>
          </w:p>
        </w:tc>
        <w:tc>
          <w:tcPr>
            <w:tcW w:w="3150" w:type="dxa"/>
          </w:tcPr>
          <w:p w14:paraId="40466CD0" w14:textId="77777777" w:rsidR="00AF7329" w:rsidRPr="00AF7329" w:rsidRDefault="00AF7329" w:rsidP="00AF7329">
            <w:pPr>
              <w:pStyle w:val="Level1Bullet"/>
            </w:pPr>
            <w:r w:rsidRPr="00AF7329">
              <w:t>Regulatory Strategy and Rate Case Support</w:t>
            </w:r>
            <w:r w:rsidRPr="00AF7329">
              <w:tab/>
            </w:r>
          </w:p>
        </w:tc>
        <w:tc>
          <w:tcPr>
            <w:tcW w:w="3150" w:type="dxa"/>
          </w:tcPr>
          <w:p w14:paraId="68C949CB" w14:textId="77777777" w:rsidR="00AF7329" w:rsidRPr="00AF7329" w:rsidRDefault="00AF7329" w:rsidP="00AF7329">
            <w:pPr>
              <w:pStyle w:val="Level1Bullet"/>
              <w:numPr>
                <w:ilvl w:val="0"/>
                <w:numId w:val="0"/>
              </w:numPr>
            </w:pPr>
          </w:p>
        </w:tc>
      </w:tr>
    </w:tbl>
    <w:p w14:paraId="3EC94580" w14:textId="77777777" w:rsidR="00AF7329" w:rsidRPr="00AF7329" w:rsidRDefault="00AF7329" w:rsidP="00AF7329">
      <w:pPr>
        <w:spacing w:before="240" w:after="120" w:line="240" w:lineRule="auto"/>
        <w:jc w:val="both"/>
        <w:outlineLvl w:val="0"/>
        <w:rPr>
          <w:rFonts w:ascii="Arial Narrow" w:eastAsia="Calibri" w:hAnsi="Arial Narrow" w:cs="Times New Roman"/>
          <w:b/>
          <w:bCs/>
          <w:i/>
          <w:color w:val="5F6062"/>
          <w:sz w:val="22"/>
          <w:szCs w:val="24"/>
        </w:rPr>
      </w:pPr>
      <w:bookmarkStart w:id="9" w:name="_Toc485797716"/>
      <w:bookmarkStart w:id="10" w:name="_Toc485807666"/>
      <w:bookmarkStart w:id="11" w:name="_Toc485821688"/>
      <w:bookmarkStart w:id="12" w:name="_Toc485835232"/>
      <w:r w:rsidRPr="00AF7329">
        <w:rPr>
          <w:rFonts w:ascii="Arial Narrow" w:eastAsia="Calibri" w:hAnsi="Arial Narrow" w:cs="Times New Roman"/>
          <w:b/>
          <w:bCs/>
          <w:i/>
          <w:color w:val="5F6062"/>
          <w:sz w:val="22"/>
          <w:szCs w:val="24"/>
        </w:rPr>
        <w:t>Recent Expert Testimony Submission/Appearances</w:t>
      </w:r>
      <w:bookmarkEnd w:id="9"/>
      <w:bookmarkEnd w:id="10"/>
      <w:bookmarkEnd w:id="11"/>
      <w:bookmarkEnd w:id="12"/>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AF7329" w:rsidRPr="00AF7329" w14:paraId="73746AE1" w14:textId="77777777" w:rsidTr="00E403FD">
        <w:tc>
          <w:tcPr>
            <w:tcW w:w="5040" w:type="dxa"/>
          </w:tcPr>
          <w:p w14:paraId="4A7C1152" w14:textId="77777777" w:rsidR="00AF7329" w:rsidRPr="00AF7329" w:rsidRDefault="00AF7329" w:rsidP="00AF7329">
            <w:pPr>
              <w:ind w:left="-18"/>
              <w:jc w:val="center"/>
              <w:rPr>
                <w:rFonts w:ascii="Arial" w:hAnsi="Arial" w:cs="Arial"/>
                <w:b/>
                <w:i/>
                <w:sz w:val="20"/>
                <w:szCs w:val="20"/>
              </w:rPr>
            </w:pPr>
            <w:r w:rsidRPr="00AF7329">
              <w:rPr>
                <w:rFonts w:ascii="Arial" w:hAnsi="Arial" w:cs="Arial"/>
                <w:b/>
                <w:i/>
                <w:sz w:val="20"/>
                <w:szCs w:val="20"/>
              </w:rPr>
              <w:t>Jurisdiction</w:t>
            </w:r>
          </w:p>
        </w:tc>
        <w:tc>
          <w:tcPr>
            <w:tcW w:w="4310" w:type="dxa"/>
          </w:tcPr>
          <w:p w14:paraId="14B15E1E" w14:textId="77777777" w:rsidR="00AF7329" w:rsidRPr="00AF7329" w:rsidRDefault="00AF7329" w:rsidP="00AF7329">
            <w:pPr>
              <w:ind w:left="-18"/>
              <w:jc w:val="center"/>
              <w:rPr>
                <w:rFonts w:ascii="Arial" w:hAnsi="Arial" w:cs="Arial"/>
                <w:b/>
                <w:i/>
                <w:sz w:val="20"/>
                <w:szCs w:val="20"/>
              </w:rPr>
            </w:pPr>
            <w:r w:rsidRPr="00AF7329">
              <w:rPr>
                <w:rFonts w:ascii="Arial" w:hAnsi="Arial" w:cs="Arial"/>
                <w:b/>
                <w:i/>
                <w:sz w:val="20"/>
                <w:szCs w:val="20"/>
              </w:rPr>
              <w:t>Topic</w:t>
            </w:r>
          </w:p>
        </w:tc>
      </w:tr>
      <w:tr w:rsidR="00AF7329" w:rsidRPr="00AF7329" w14:paraId="0242376F" w14:textId="77777777" w:rsidTr="00E403FD">
        <w:tc>
          <w:tcPr>
            <w:tcW w:w="5040" w:type="dxa"/>
          </w:tcPr>
          <w:p w14:paraId="54352C9A" w14:textId="77777777" w:rsidR="00AF7329" w:rsidRPr="00AF7329" w:rsidRDefault="00AF7329" w:rsidP="00AF7329">
            <w:pPr>
              <w:pStyle w:val="Level1Bullet"/>
              <w:rPr>
                <w:rFonts w:eastAsia="Calibri"/>
              </w:rPr>
            </w:pPr>
            <w:r w:rsidRPr="00AF7329">
              <w:rPr>
                <w:rFonts w:eastAsia="Calibri"/>
              </w:rPr>
              <w:t>Regulatory Commission of Alaska</w:t>
            </w:r>
          </w:p>
        </w:tc>
        <w:tc>
          <w:tcPr>
            <w:tcW w:w="4310" w:type="dxa"/>
          </w:tcPr>
          <w:p w14:paraId="16FCFB52" w14:textId="77777777" w:rsidR="00AF7329" w:rsidRPr="00AF7329" w:rsidRDefault="00AF7329" w:rsidP="00AF7329">
            <w:pPr>
              <w:ind w:left="-18"/>
              <w:jc w:val="both"/>
              <w:rPr>
                <w:rFonts w:ascii="Arial" w:hAnsi="Arial" w:cs="Arial"/>
                <w:sz w:val="20"/>
                <w:szCs w:val="20"/>
              </w:rPr>
            </w:pPr>
            <w:r w:rsidRPr="00AF7329">
              <w:rPr>
                <w:rFonts w:ascii="Arial" w:hAnsi="Arial" w:cs="Arial"/>
                <w:sz w:val="20"/>
                <w:szCs w:val="20"/>
              </w:rPr>
              <w:t>Return on Common Equity &amp; Capital Structure</w:t>
            </w:r>
          </w:p>
        </w:tc>
      </w:tr>
      <w:tr w:rsidR="00AF7329" w:rsidRPr="00AF7329" w14:paraId="2B83FE25" w14:textId="77777777" w:rsidTr="00E403FD">
        <w:tc>
          <w:tcPr>
            <w:tcW w:w="5040" w:type="dxa"/>
          </w:tcPr>
          <w:p w14:paraId="41554B1B" w14:textId="77777777" w:rsidR="00AF7329" w:rsidRPr="00AF7329" w:rsidRDefault="00AF7329" w:rsidP="00AF7329">
            <w:pPr>
              <w:pStyle w:val="Level1Bullet"/>
              <w:rPr>
                <w:rFonts w:eastAsia="Calibri"/>
              </w:rPr>
            </w:pPr>
            <w:r w:rsidRPr="00AF7329">
              <w:rPr>
                <w:rFonts w:eastAsia="Calibri"/>
              </w:rPr>
              <w:t>New Jersey Board of Public Utilities</w:t>
            </w:r>
          </w:p>
        </w:tc>
        <w:tc>
          <w:tcPr>
            <w:tcW w:w="4310" w:type="dxa"/>
          </w:tcPr>
          <w:p w14:paraId="002F23FB" w14:textId="77777777" w:rsidR="00AF7329" w:rsidRPr="00AF7329" w:rsidRDefault="00AF7329" w:rsidP="00AF7329">
            <w:pPr>
              <w:ind w:left="-18"/>
              <w:jc w:val="both"/>
              <w:rPr>
                <w:rFonts w:ascii="Arial" w:hAnsi="Arial" w:cs="Arial"/>
                <w:sz w:val="20"/>
                <w:szCs w:val="20"/>
              </w:rPr>
            </w:pPr>
            <w:r w:rsidRPr="00AF7329">
              <w:rPr>
                <w:rFonts w:ascii="Arial" w:hAnsi="Arial" w:cs="Arial"/>
                <w:sz w:val="20"/>
                <w:szCs w:val="20"/>
              </w:rPr>
              <w:t>Cost of Service, Rate Design</w:t>
            </w:r>
          </w:p>
        </w:tc>
      </w:tr>
      <w:tr w:rsidR="00AF7329" w:rsidRPr="00AF7329" w14:paraId="71548752" w14:textId="77777777" w:rsidTr="00E403FD">
        <w:tc>
          <w:tcPr>
            <w:tcW w:w="5040" w:type="dxa"/>
          </w:tcPr>
          <w:p w14:paraId="01B9A07F" w14:textId="77777777" w:rsidR="00AF7329" w:rsidRPr="00AF7329" w:rsidRDefault="00AF7329" w:rsidP="00AF7329">
            <w:pPr>
              <w:pStyle w:val="Level1Bullet"/>
              <w:rPr>
                <w:rFonts w:eastAsia="Calibri"/>
              </w:rPr>
            </w:pPr>
            <w:r w:rsidRPr="00AF7329">
              <w:rPr>
                <w:rFonts w:eastAsia="Calibri"/>
              </w:rPr>
              <w:t>Pennsylvania Public Utility Commission</w:t>
            </w:r>
          </w:p>
        </w:tc>
        <w:tc>
          <w:tcPr>
            <w:tcW w:w="4310" w:type="dxa"/>
          </w:tcPr>
          <w:p w14:paraId="494EDBD6" w14:textId="77777777" w:rsidR="00AF7329" w:rsidRPr="00AF7329" w:rsidRDefault="00AF7329" w:rsidP="00AF7329">
            <w:pPr>
              <w:ind w:left="-18"/>
              <w:jc w:val="both"/>
              <w:rPr>
                <w:rFonts w:ascii="Arial" w:hAnsi="Arial" w:cs="Arial"/>
                <w:sz w:val="20"/>
                <w:szCs w:val="20"/>
              </w:rPr>
            </w:pPr>
            <w:r w:rsidRPr="00AF7329">
              <w:rPr>
                <w:rFonts w:ascii="Arial" w:hAnsi="Arial" w:cs="Arial"/>
                <w:sz w:val="20"/>
                <w:szCs w:val="20"/>
              </w:rPr>
              <w:t>Return on Common Equity</w:t>
            </w:r>
          </w:p>
        </w:tc>
      </w:tr>
      <w:tr w:rsidR="00AF7329" w:rsidRPr="00AF7329" w14:paraId="0088274A" w14:textId="77777777" w:rsidTr="00E403FD">
        <w:tc>
          <w:tcPr>
            <w:tcW w:w="5040" w:type="dxa"/>
          </w:tcPr>
          <w:p w14:paraId="52D838D1" w14:textId="77777777" w:rsidR="00AF7329" w:rsidRPr="00AF7329" w:rsidRDefault="00AF7329" w:rsidP="00AF7329">
            <w:pPr>
              <w:pStyle w:val="Level1Bullet"/>
              <w:rPr>
                <w:rFonts w:eastAsia="Calibri"/>
              </w:rPr>
            </w:pPr>
            <w:r w:rsidRPr="00AF7329">
              <w:rPr>
                <w:rFonts w:eastAsia="Calibri"/>
              </w:rPr>
              <w:t>South Carolina Public Service Commission</w:t>
            </w:r>
          </w:p>
        </w:tc>
        <w:tc>
          <w:tcPr>
            <w:tcW w:w="4310" w:type="dxa"/>
          </w:tcPr>
          <w:p w14:paraId="4C0896A5" w14:textId="77777777" w:rsidR="00AF7329" w:rsidRPr="00AF7329" w:rsidRDefault="00AF7329" w:rsidP="00AF7329">
            <w:pPr>
              <w:ind w:left="-18"/>
              <w:jc w:val="both"/>
              <w:rPr>
                <w:rFonts w:ascii="Arial" w:hAnsi="Arial" w:cs="Arial"/>
                <w:sz w:val="20"/>
                <w:szCs w:val="20"/>
              </w:rPr>
            </w:pPr>
            <w:r w:rsidRPr="00AF7329">
              <w:rPr>
                <w:rFonts w:ascii="Arial" w:hAnsi="Arial" w:cs="Arial"/>
                <w:sz w:val="20"/>
                <w:szCs w:val="20"/>
              </w:rPr>
              <w:t>Return on Common Equity</w:t>
            </w:r>
          </w:p>
        </w:tc>
      </w:tr>
      <w:tr w:rsidR="00AF7329" w:rsidRPr="00AF7329" w14:paraId="611FCA33" w14:textId="77777777" w:rsidTr="00E403FD">
        <w:tc>
          <w:tcPr>
            <w:tcW w:w="5040" w:type="dxa"/>
          </w:tcPr>
          <w:p w14:paraId="0257F237" w14:textId="77777777" w:rsidR="00AF7329" w:rsidRPr="00AF7329" w:rsidRDefault="00AF7329" w:rsidP="00AF7329">
            <w:pPr>
              <w:pStyle w:val="Level1Bullet"/>
              <w:rPr>
                <w:rFonts w:eastAsia="Calibri"/>
              </w:rPr>
            </w:pPr>
            <w:r w:rsidRPr="00AF7329">
              <w:rPr>
                <w:rFonts w:eastAsia="Calibri"/>
              </w:rPr>
              <w:t xml:space="preserve">American Arbitration Association </w:t>
            </w:r>
          </w:p>
        </w:tc>
        <w:tc>
          <w:tcPr>
            <w:tcW w:w="4310" w:type="dxa"/>
          </w:tcPr>
          <w:p w14:paraId="02F3E188" w14:textId="77777777" w:rsidR="00AF7329" w:rsidRPr="00AF7329" w:rsidRDefault="00AF7329" w:rsidP="00AF7329">
            <w:pPr>
              <w:ind w:left="-18"/>
              <w:jc w:val="both"/>
              <w:rPr>
                <w:rFonts w:ascii="Arial" w:hAnsi="Arial" w:cs="Arial"/>
                <w:sz w:val="20"/>
                <w:szCs w:val="20"/>
              </w:rPr>
            </w:pPr>
            <w:r w:rsidRPr="00AF7329">
              <w:rPr>
                <w:rFonts w:ascii="Arial" w:hAnsi="Arial" w:cs="Arial"/>
                <w:sz w:val="20"/>
                <w:szCs w:val="20"/>
              </w:rPr>
              <w:t>Valuation</w:t>
            </w:r>
          </w:p>
        </w:tc>
      </w:tr>
    </w:tbl>
    <w:p w14:paraId="1B9CE30A" w14:textId="77777777" w:rsidR="00AF7329" w:rsidRPr="00AF7329" w:rsidRDefault="00AF7329" w:rsidP="00AF7329">
      <w:pPr>
        <w:spacing w:before="120" w:after="120" w:line="240" w:lineRule="auto"/>
        <w:jc w:val="both"/>
        <w:outlineLvl w:val="0"/>
        <w:rPr>
          <w:rFonts w:ascii="Arial Narrow" w:eastAsia="Calibri" w:hAnsi="Arial Narrow" w:cs="Times New Roman"/>
          <w:color w:val="5F6062"/>
          <w:sz w:val="22"/>
          <w:szCs w:val="24"/>
        </w:rPr>
      </w:pPr>
      <w:bookmarkStart w:id="13" w:name="_Toc485797717"/>
      <w:bookmarkStart w:id="14" w:name="_Toc485807667"/>
      <w:bookmarkStart w:id="15" w:name="_Toc485821689"/>
      <w:bookmarkStart w:id="16" w:name="_Toc485835233"/>
      <w:r w:rsidRPr="00AF7329">
        <w:rPr>
          <w:rFonts w:ascii="Arial Narrow" w:eastAsia="Calibri" w:hAnsi="Arial Narrow" w:cs="Times New Roman"/>
          <w:b/>
          <w:bCs/>
          <w:i/>
          <w:color w:val="5F6062"/>
          <w:sz w:val="22"/>
          <w:szCs w:val="24"/>
        </w:rPr>
        <w:t>Recent Assignments</w:t>
      </w:r>
      <w:bookmarkEnd w:id="13"/>
      <w:bookmarkEnd w:id="14"/>
      <w:bookmarkEnd w:id="15"/>
      <w:bookmarkEnd w:id="16"/>
    </w:p>
    <w:p w14:paraId="6CBEAF34" w14:textId="77777777" w:rsidR="00AF7329" w:rsidRPr="00AF7329" w:rsidRDefault="00AF7329" w:rsidP="00AF7329">
      <w:pPr>
        <w:pStyle w:val="Level1Bullet"/>
      </w:pPr>
      <w:r w:rsidRPr="00AF7329">
        <w:t>Provided expert testimony on the cost of capital for ratemaking purposes before numerous state utility regulatory agencies</w:t>
      </w:r>
    </w:p>
    <w:p w14:paraId="6A543D0C" w14:textId="77777777" w:rsidR="00AF7329" w:rsidRPr="00AF7329" w:rsidRDefault="00AF7329" w:rsidP="00AF7329">
      <w:pPr>
        <w:pStyle w:val="Level1Bullet"/>
      </w:pPr>
      <w:r w:rsidRPr="00AF7329">
        <w:t xml:space="preserve">Maintains the benchmark index against which the Hennessy Gas Utility Mutual Fund performance is measured </w:t>
      </w:r>
    </w:p>
    <w:p w14:paraId="3CB6E993" w14:textId="77777777" w:rsidR="00AF7329" w:rsidRPr="00AF7329" w:rsidRDefault="00AF7329" w:rsidP="00AF7329">
      <w:pPr>
        <w:pStyle w:val="Level1Bullet"/>
      </w:pPr>
      <w:r w:rsidRPr="00AF7329">
        <w:t>Sponsored valuation testimony for a large municipal water company in front of an American Arbitration Association Board to justify the reasonability of their lease payments to the City</w:t>
      </w:r>
    </w:p>
    <w:p w14:paraId="502B7BAD" w14:textId="77777777" w:rsidR="00AF7329" w:rsidRPr="00AF7329" w:rsidRDefault="00AF7329" w:rsidP="00AF7329">
      <w:pPr>
        <w:pStyle w:val="Level1Bullet"/>
      </w:pPr>
      <w:r w:rsidRPr="00AF7329">
        <w:t>Co-authored a valuation report on behalf of a large investor-owned utility company in response to a new state regulation which allowed the appraised value of acquired assets into rate base</w:t>
      </w:r>
    </w:p>
    <w:p w14:paraId="2F347C6E" w14:textId="77777777" w:rsidR="00AF7329" w:rsidRPr="00AF7329" w:rsidRDefault="00AF7329" w:rsidP="00AF7329">
      <w:pPr>
        <w:spacing w:before="240" w:after="120" w:line="240" w:lineRule="auto"/>
        <w:jc w:val="both"/>
        <w:outlineLvl w:val="0"/>
        <w:rPr>
          <w:rFonts w:ascii="Arial Narrow" w:eastAsia="Calibri" w:hAnsi="Arial Narrow" w:cs="Times New Roman"/>
          <w:b/>
          <w:bCs/>
          <w:i/>
          <w:color w:val="5F6062"/>
          <w:sz w:val="22"/>
          <w:szCs w:val="24"/>
        </w:rPr>
      </w:pPr>
      <w:bookmarkStart w:id="17" w:name="_Toc485797718"/>
      <w:bookmarkStart w:id="18" w:name="_Toc485807668"/>
      <w:bookmarkStart w:id="19" w:name="_Toc485821690"/>
      <w:bookmarkStart w:id="20" w:name="_Toc485835234"/>
      <w:r w:rsidRPr="00AF7329">
        <w:rPr>
          <w:rFonts w:ascii="Arial Narrow" w:eastAsia="Calibri" w:hAnsi="Arial Narrow" w:cs="Times New Roman"/>
          <w:b/>
          <w:bCs/>
          <w:i/>
          <w:color w:val="5F6062"/>
          <w:sz w:val="22"/>
          <w:szCs w:val="24"/>
        </w:rPr>
        <w:t>Recent Publications and Speeches</w:t>
      </w:r>
      <w:bookmarkEnd w:id="17"/>
      <w:bookmarkEnd w:id="18"/>
      <w:bookmarkEnd w:id="19"/>
      <w:bookmarkEnd w:id="20"/>
    </w:p>
    <w:p w14:paraId="0B9666F9" w14:textId="77777777" w:rsidR="00AF7329" w:rsidRPr="00AF7329" w:rsidRDefault="00AF7329" w:rsidP="00AF7329">
      <w:pPr>
        <w:pStyle w:val="Level1Bullet"/>
      </w:pPr>
      <w:r w:rsidRPr="00AF7329">
        <w:t>Co-Author of: “The Impact of Decoupling on the Cost of Capital of Public Utilities”, co-authored with Richard A. Michelfelder, Ph.D., Rutgers University and Pauline M. Ahern. (Forthcoming)</w:t>
      </w:r>
    </w:p>
    <w:p w14:paraId="23F91E39" w14:textId="77777777" w:rsidR="00AF7329" w:rsidRPr="00AF7329" w:rsidRDefault="00AF7329" w:rsidP="00AF7329">
      <w:pPr>
        <w:pStyle w:val="Level1Bullet"/>
      </w:pPr>
      <w:r w:rsidRPr="00AF7329">
        <w:t xml:space="preserve">“Past is Prologue: Future Test Year”, Presentation before the National Association of Water Companies 2017 Southeast Water Infrastructure Summit, May 2, 2017, Savannah, GA. </w:t>
      </w:r>
    </w:p>
    <w:p w14:paraId="27093A4A" w14:textId="77777777" w:rsidR="00AF7329" w:rsidRPr="00AF7329" w:rsidRDefault="00AF7329" w:rsidP="00AF7329">
      <w:pPr>
        <w:pStyle w:val="Level1Bullet"/>
      </w:pPr>
      <w:r w:rsidRPr="00AF7329">
        <w:t xml:space="preserve">Co-author of: “Comparative Evaluation of the Predictive Risk Premium </w:t>
      </w:r>
      <w:proofErr w:type="spellStart"/>
      <w:r w:rsidRPr="00AF7329">
        <w:t>Model</w:t>
      </w:r>
      <w:r w:rsidRPr="00AF7329">
        <w:rPr>
          <w:vertAlign w:val="superscript"/>
        </w:rPr>
        <w:t>TM</w:t>
      </w:r>
      <w:proofErr w:type="spellEnd"/>
      <w:r w:rsidRPr="00AF7329">
        <w:t xml:space="preserve">, the Discounted Cash Flow Model and the Capital Asset Pricing Model”, co-authored with Richard A. Michelfelder, Ph.D., Rutgers University, Pauline M. Ahern, and Frank J. Hanley, The Electricity Journal, May, 2013. </w:t>
      </w:r>
    </w:p>
    <w:p w14:paraId="280DEA99" w14:textId="77777777" w:rsidR="00AF7329" w:rsidRPr="00AF7329" w:rsidRDefault="00AF7329" w:rsidP="00AF7329">
      <w:pPr>
        <w:pStyle w:val="Level1Bullet"/>
        <w:rPr>
          <w:rFonts w:eastAsia="Arial"/>
        </w:rPr>
        <w:sectPr w:rsidR="00AF7329" w:rsidRPr="00AF7329" w:rsidSect="00DB3775">
          <w:headerReference w:type="default" r:id="rId8"/>
          <w:type w:val="continuous"/>
          <w:pgSz w:w="12240" w:h="15840" w:code="1"/>
          <w:pgMar w:top="1440" w:right="1440" w:bottom="1170" w:left="1440" w:header="720" w:footer="0" w:gutter="0"/>
          <w:pgNumType w:start="1"/>
          <w:cols w:space="720"/>
          <w:docGrid w:linePitch="299"/>
        </w:sectPr>
      </w:pPr>
      <w:r w:rsidRPr="00AF7329">
        <w:t>“Decoupling: Impact on the Risk and Cost of Common Equity of Public Utility Stocks”, before the Society of Utility and Regulatory Financial Analysts: 45th Financial Forum, April 17-18, 2013, Indianapolis, IN</w:t>
      </w:r>
      <w:r w:rsidRPr="00AF7329">
        <w:rPr>
          <w:rFonts w:eastAsia="Arial"/>
        </w:rPr>
        <w:t>.</w:t>
      </w:r>
    </w:p>
    <w:tbl>
      <w:tblPr>
        <w:tblStyle w:val="TableGrid"/>
        <w:tblW w:w="10335" w:type="dxa"/>
        <w:jc w:val="center"/>
        <w:tblLook w:val="04A0" w:firstRow="1" w:lastRow="0" w:firstColumn="1" w:lastColumn="0" w:noHBand="0" w:noVBand="1"/>
      </w:tblPr>
      <w:tblGrid>
        <w:gridCol w:w="2141"/>
        <w:gridCol w:w="1049"/>
        <w:gridCol w:w="2825"/>
        <w:gridCol w:w="2250"/>
        <w:gridCol w:w="2070"/>
      </w:tblGrid>
      <w:tr w:rsidR="00D647EB" w:rsidRPr="00AC6309" w14:paraId="7D6AEA93" w14:textId="77777777" w:rsidTr="00FD1718">
        <w:trPr>
          <w:trHeight w:val="274"/>
          <w:tblHeader/>
          <w:jc w:val="center"/>
        </w:trPr>
        <w:tc>
          <w:tcPr>
            <w:tcW w:w="2141" w:type="dxa"/>
            <w:tcBorders>
              <w:top w:val="single" w:sz="12" w:space="0" w:color="auto"/>
              <w:left w:val="single" w:sz="12" w:space="0" w:color="auto"/>
              <w:bottom w:val="single" w:sz="12" w:space="0" w:color="auto"/>
              <w:right w:val="single" w:sz="12" w:space="0" w:color="auto"/>
            </w:tcBorders>
          </w:tcPr>
          <w:p w14:paraId="38EDAE86" w14:textId="77777777" w:rsidR="000E0A36" w:rsidRPr="00F3208D" w:rsidRDefault="000E0A36" w:rsidP="009F63B4">
            <w:pPr>
              <w:spacing w:before="20" w:after="20"/>
              <w:rPr>
                <w:rFonts w:ascii="Arial Narrow" w:hAnsi="Arial Narrow" w:cstheme="minorHAnsi"/>
                <w:b/>
                <w:bCs/>
                <w:smallCaps/>
                <w:sz w:val="20"/>
                <w:szCs w:val="20"/>
              </w:rPr>
            </w:pPr>
            <w:r w:rsidRPr="00F3208D">
              <w:rPr>
                <w:rFonts w:ascii="Arial Narrow" w:hAnsi="Arial Narrow" w:cstheme="minorHAnsi"/>
                <w:b/>
                <w:bCs/>
                <w:smallCaps/>
                <w:sz w:val="20"/>
                <w:szCs w:val="20"/>
              </w:rPr>
              <w:lastRenderedPageBreak/>
              <w:t>Sponsor</w:t>
            </w:r>
          </w:p>
        </w:tc>
        <w:tc>
          <w:tcPr>
            <w:tcW w:w="1049" w:type="dxa"/>
            <w:tcBorders>
              <w:top w:val="single" w:sz="12" w:space="0" w:color="auto"/>
              <w:left w:val="single" w:sz="12" w:space="0" w:color="auto"/>
              <w:bottom w:val="single" w:sz="12" w:space="0" w:color="auto"/>
              <w:right w:val="single" w:sz="12" w:space="0" w:color="auto"/>
            </w:tcBorders>
          </w:tcPr>
          <w:p w14:paraId="114D1456" w14:textId="77777777" w:rsidR="000E0A36" w:rsidRPr="00F3208D" w:rsidRDefault="000E0A36" w:rsidP="009F63B4">
            <w:pPr>
              <w:spacing w:before="20" w:after="20"/>
              <w:jc w:val="center"/>
              <w:rPr>
                <w:rFonts w:ascii="Arial Narrow" w:hAnsi="Arial Narrow" w:cstheme="minorHAnsi"/>
                <w:b/>
                <w:bCs/>
                <w:smallCaps/>
                <w:sz w:val="20"/>
                <w:szCs w:val="20"/>
              </w:rPr>
            </w:pPr>
            <w:r w:rsidRPr="00F3208D">
              <w:rPr>
                <w:rFonts w:ascii="Arial Narrow" w:hAnsi="Arial Narrow" w:cstheme="minorHAnsi"/>
                <w:b/>
                <w:bCs/>
                <w:smallCaps/>
                <w:sz w:val="20"/>
                <w:szCs w:val="20"/>
              </w:rPr>
              <w:t>Date</w:t>
            </w:r>
          </w:p>
        </w:tc>
        <w:tc>
          <w:tcPr>
            <w:tcW w:w="2825" w:type="dxa"/>
            <w:tcBorders>
              <w:top w:val="single" w:sz="12" w:space="0" w:color="auto"/>
              <w:left w:val="single" w:sz="12" w:space="0" w:color="auto"/>
              <w:bottom w:val="single" w:sz="12" w:space="0" w:color="auto"/>
              <w:right w:val="single" w:sz="12" w:space="0" w:color="auto"/>
            </w:tcBorders>
          </w:tcPr>
          <w:p w14:paraId="5511EFEC" w14:textId="77777777" w:rsidR="000E0A36" w:rsidRPr="00F3208D" w:rsidRDefault="000E0A36" w:rsidP="009F63B4">
            <w:pPr>
              <w:spacing w:before="20" w:after="20"/>
              <w:rPr>
                <w:rFonts w:ascii="Arial Narrow" w:hAnsi="Arial Narrow" w:cstheme="minorHAnsi"/>
                <w:b/>
                <w:bCs/>
                <w:smallCaps/>
                <w:sz w:val="20"/>
                <w:szCs w:val="20"/>
              </w:rPr>
            </w:pPr>
            <w:r w:rsidRPr="00F3208D">
              <w:rPr>
                <w:rFonts w:ascii="Arial Narrow" w:hAnsi="Arial Narrow" w:cstheme="minorHAnsi"/>
                <w:b/>
                <w:bCs/>
                <w:smallCaps/>
                <w:sz w:val="20"/>
                <w:szCs w:val="20"/>
              </w:rPr>
              <w:t>Case/Applicant</w:t>
            </w:r>
          </w:p>
        </w:tc>
        <w:tc>
          <w:tcPr>
            <w:tcW w:w="2250" w:type="dxa"/>
            <w:tcBorders>
              <w:top w:val="single" w:sz="12" w:space="0" w:color="auto"/>
              <w:left w:val="single" w:sz="12" w:space="0" w:color="auto"/>
              <w:bottom w:val="single" w:sz="12" w:space="0" w:color="auto"/>
              <w:right w:val="single" w:sz="12" w:space="0" w:color="auto"/>
            </w:tcBorders>
          </w:tcPr>
          <w:p w14:paraId="2C2E11EB" w14:textId="77777777" w:rsidR="000E0A36" w:rsidRPr="00F3208D" w:rsidRDefault="000E0A36" w:rsidP="009F63B4">
            <w:pPr>
              <w:spacing w:before="20" w:after="20"/>
              <w:rPr>
                <w:rFonts w:ascii="Arial Narrow" w:hAnsi="Arial Narrow" w:cstheme="minorHAnsi"/>
                <w:b/>
                <w:bCs/>
                <w:smallCaps/>
                <w:sz w:val="20"/>
                <w:szCs w:val="20"/>
              </w:rPr>
            </w:pPr>
            <w:r w:rsidRPr="00F3208D">
              <w:rPr>
                <w:rFonts w:ascii="Arial Narrow" w:hAnsi="Arial Narrow" w:cstheme="minorHAnsi"/>
                <w:b/>
                <w:bCs/>
                <w:smallCaps/>
                <w:sz w:val="20"/>
                <w:szCs w:val="20"/>
              </w:rPr>
              <w:t>Docket No.</w:t>
            </w:r>
          </w:p>
        </w:tc>
        <w:tc>
          <w:tcPr>
            <w:tcW w:w="2070" w:type="dxa"/>
            <w:tcBorders>
              <w:top w:val="single" w:sz="12" w:space="0" w:color="auto"/>
              <w:left w:val="single" w:sz="12" w:space="0" w:color="auto"/>
              <w:bottom w:val="single" w:sz="12" w:space="0" w:color="auto"/>
              <w:right w:val="single" w:sz="12" w:space="0" w:color="auto"/>
            </w:tcBorders>
          </w:tcPr>
          <w:p w14:paraId="7E722E66" w14:textId="77777777" w:rsidR="000E0A36" w:rsidRPr="00F3208D" w:rsidRDefault="000E0A36" w:rsidP="009F63B4">
            <w:pPr>
              <w:spacing w:before="20" w:after="20"/>
              <w:rPr>
                <w:rFonts w:ascii="Arial Narrow" w:hAnsi="Arial Narrow" w:cstheme="minorHAnsi"/>
                <w:b/>
                <w:bCs/>
                <w:smallCaps/>
                <w:sz w:val="20"/>
                <w:szCs w:val="20"/>
              </w:rPr>
            </w:pPr>
            <w:r w:rsidRPr="00F3208D">
              <w:rPr>
                <w:rFonts w:ascii="Arial Narrow" w:hAnsi="Arial Narrow" w:cstheme="minorHAnsi"/>
                <w:b/>
                <w:bCs/>
                <w:smallCaps/>
                <w:sz w:val="20"/>
                <w:szCs w:val="20"/>
              </w:rPr>
              <w:t>Subject</w:t>
            </w:r>
          </w:p>
        </w:tc>
      </w:tr>
      <w:tr w:rsidR="001E7BFA" w:rsidRPr="00AC6309" w14:paraId="25A167D2" w14:textId="77777777" w:rsidTr="00FD1718">
        <w:trPr>
          <w:trHeight w:val="274"/>
          <w:jc w:val="center"/>
        </w:trPr>
        <w:tc>
          <w:tcPr>
            <w:tcW w:w="10335" w:type="dxa"/>
            <w:gridSpan w:val="5"/>
            <w:shd w:val="clear" w:color="auto" w:fill="D9D9D9" w:themeFill="background1" w:themeFillShade="D9"/>
            <w:vAlign w:val="bottom"/>
          </w:tcPr>
          <w:p w14:paraId="09B5FC6C" w14:textId="347DA53C"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Regulatory Commission of Alaska</w:t>
            </w:r>
          </w:p>
        </w:tc>
      </w:tr>
      <w:tr w:rsidR="00D647EB" w:rsidRPr="00AC6309" w14:paraId="53A3A9CF" w14:textId="77777777" w:rsidTr="00FD1718">
        <w:trPr>
          <w:trHeight w:val="274"/>
          <w:jc w:val="center"/>
        </w:trPr>
        <w:tc>
          <w:tcPr>
            <w:tcW w:w="2141" w:type="dxa"/>
            <w:vAlign w:val="bottom"/>
          </w:tcPr>
          <w:p w14:paraId="3C1899B0" w14:textId="77777777" w:rsidR="000E0A36" w:rsidRPr="00F3208D" w:rsidRDefault="000E0A36" w:rsidP="009F63B4">
            <w:pPr>
              <w:spacing w:before="20" w:after="20"/>
              <w:rPr>
                <w:rFonts w:ascii="Arial Narrow" w:hAnsi="Arial Narrow" w:cstheme="minorHAnsi"/>
                <w:sz w:val="20"/>
                <w:szCs w:val="20"/>
              </w:rPr>
            </w:pPr>
            <w:r w:rsidRPr="00F3208D">
              <w:rPr>
                <w:rFonts w:ascii="Arial Narrow" w:hAnsi="Arial Narrow" w:cstheme="minorHAnsi"/>
                <w:sz w:val="20"/>
                <w:szCs w:val="20"/>
              </w:rPr>
              <w:t>Alaska Power Company</w:t>
            </w:r>
          </w:p>
        </w:tc>
        <w:tc>
          <w:tcPr>
            <w:tcW w:w="1049" w:type="dxa"/>
            <w:vAlign w:val="bottom"/>
          </w:tcPr>
          <w:p w14:paraId="16CCC9D6" w14:textId="77777777" w:rsidR="000E0A36" w:rsidRPr="00F3208D" w:rsidRDefault="000E0A36" w:rsidP="009F63B4">
            <w:pPr>
              <w:spacing w:before="20" w:after="20"/>
              <w:jc w:val="center"/>
              <w:rPr>
                <w:rFonts w:ascii="Arial Narrow" w:hAnsi="Arial Narrow" w:cstheme="minorHAnsi"/>
                <w:sz w:val="20"/>
                <w:szCs w:val="20"/>
              </w:rPr>
            </w:pPr>
            <w:r w:rsidRPr="00F3208D">
              <w:rPr>
                <w:rFonts w:ascii="Arial Narrow" w:hAnsi="Arial Narrow" w:cstheme="minorHAnsi"/>
                <w:sz w:val="20"/>
                <w:szCs w:val="20"/>
              </w:rPr>
              <w:t>07/16</w:t>
            </w:r>
          </w:p>
        </w:tc>
        <w:tc>
          <w:tcPr>
            <w:tcW w:w="2825" w:type="dxa"/>
            <w:vAlign w:val="bottom"/>
          </w:tcPr>
          <w:p w14:paraId="4967C280" w14:textId="77777777" w:rsidR="000E0A36" w:rsidRPr="00F3208D" w:rsidRDefault="000E0A36" w:rsidP="009F63B4">
            <w:pPr>
              <w:spacing w:before="20" w:after="20"/>
              <w:rPr>
                <w:rFonts w:ascii="Arial Narrow" w:hAnsi="Arial Narrow" w:cstheme="minorHAnsi"/>
                <w:sz w:val="20"/>
                <w:szCs w:val="20"/>
              </w:rPr>
            </w:pPr>
            <w:r w:rsidRPr="00F3208D">
              <w:rPr>
                <w:rFonts w:ascii="Arial Narrow" w:hAnsi="Arial Narrow" w:cstheme="minorHAnsi"/>
                <w:sz w:val="20"/>
                <w:szCs w:val="20"/>
              </w:rPr>
              <w:t>Alaska Power Company</w:t>
            </w:r>
          </w:p>
        </w:tc>
        <w:tc>
          <w:tcPr>
            <w:tcW w:w="2250" w:type="dxa"/>
            <w:vAlign w:val="bottom"/>
          </w:tcPr>
          <w:p w14:paraId="2C9D8556" w14:textId="77777777" w:rsidR="000E0A36" w:rsidRPr="00F3208D" w:rsidRDefault="000E0A36" w:rsidP="009F63B4">
            <w:pPr>
              <w:spacing w:before="20" w:after="20"/>
              <w:rPr>
                <w:rFonts w:ascii="Arial Narrow" w:hAnsi="Arial Narrow" w:cstheme="minorHAnsi"/>
                <w:sz w:val="20"/>
                <w:szCs w:val="20"/>
              </w:rPr>
            </w:pPr>
            <w:r w:rsidRPr="00F3208D">
              <w:rPr>
                <w:rFonts w:ascii="Arial Narrow" w:hAnsi="Arial Narrow" w:cstheme="minorHAnsi"/>
                <w:sz w:val="20"/>
                <w:szCs w:val="20"/>
              </w:rPr>
              <w:t>Docket No. TA857-2</w:t>
            </w:r>
          </w:p>
        </w:tc>
        <w:tc>
          <w:tcPr>
            <w:tcW w:w="2070" w:type="dxa"/>
            <w:vAlign w:val="bottom"/>
          </w:tcPr>
          <w:p w14:paraId="3211101B" w14:textId="77777777" w:rsidR="000E0A36" w:rsidRPr="00F3208D" w:rsidRDefault="000E0A36" w:rsidP="009F63B4">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540B84" w:rsidRPr="003C0410" w14:paraId="02C6059E" w14:textId="77777777" w:rsidTr="00FD1718">
        <w:trPr>
          <w:trHeight w:val="259"/>
          <w:jc w:val="center"/>
        </w:trPr>
        <w:tc>
          <w:tcPr>
            <w:tcW w:w="10335" w:type="dxa"/>
            <w:gridSpan w:val="5"/>
            <w:shd w:val="clear" w:color="auto" w:fill="D9D9D9" w:themeFill="background1" w:themeFillShade="D9"/>
            <w:vAlign w:val="bottom"/>
          </w:tcPr>
          <w:p w14:paraId="14B1C457" w14:textId="1425F36C" w:rsidR="00540B84" w:rsidRPr="003C0410" w:rsidRDefault="003C0410" w:rsidP="009F63B4">
            <w:pPr>
              <w:spacing w:before="20" w:after="20"/>
              <w:rPr>
                <w:rFonts w:ascii="Arial Narrow" w:hAnsi="Arial Narrow" w:cstheme="minorHAnsi"/>
                <w:b/>
                <w:sz w:val="20"/>
                <w:szCs w:val="20"/>
              </w:rPr>
            </w:pPr>
            <w:r w:rsidRPr="003C0410">
              <w:rPr>
                <w:rFonts w:ascii="Arial Narrow" w:hAnsi="Arial Narrow" w:cstheme="minorHAnsi"/>
                <w:b/>
                <w:sz w:val="20"/>
                <w:szCs w:val="20"/>
              </w:rPr>
              <w:t>Arizona</w:t>
            </w:r>
            <w:r w:rsidR="00540B84" w:rsidRPr="003C0410">
              <w:rPr>
                <w:rFonts w:ascii="Arial Narrow" w:hAnsi="Arial Narrow" w:cstheme="minorHAnsi"/>
                <w:b/>
                <w:sz w:val="20"/>
                <w:szCs w:val="20"/>
              </w:rPr>
              <w:t xml:space="preserve"> Corporation Commission</w:t>
            </w:r>
          </w:p>
        </w:tc>
      </w:tr>
      <w:tr w:rsidR="00540B84" w:rsidRPr="00AC6309" w14:paraId="04CE5F48" w14:textId="77777777" w:rsidTr="00FD1718">
        <w:trPr>
          <w:trHeight w:val="503"/>
          <w:jc w:val="center"/>
        </w:trPr>
        <w:tc>
          <w:tcPr>
            <w:tcW w:w="2141" w:type="dxa"/>
            <w:vAlign w:val="bottom"/>
          </w:tcPr>
          <w:p w14:paraId="630FECE3" w14:textId="576E0DA9" w:rsidR="00540B84" w:rsidRPr="00F3208D" w:rsidRDefault="00540B84" w:rsidP="009F63B4">
            <w:pPr>
              <w:spacing w:before="20" w:after="20"/>
              <w:rPr>
                <w:rFonts w:ascii="Arial Narrow" w:hAnsi="Arial Narrow" w:cstheme="minorHAnsi"/>
                <w:sz w:val="20"/>
                <w:szCs w:val="20"/>
              </w:rPr>
            </w:pPr>
            <w:r>
              <w:rPr>
                <w:rFonts w:ascii="Arial Narrow" w:hAnsi="Arial Narrow" w:cstheme="minorHAnsi"/>
                <w:sz w:val="20"/>
                <w:szCs w:val="20"/>
              </w:rPr>
              <w:t>Arizona Water Company</w:t>
            </w:r>
          </w:p>
        </w:tc>
        <w:tc>
          <w:tcPr>
            <w:tcW w:w="1049" w:type="dxa"/>
            <w:vAlign w:val="bottom"/>
          </w:tcPr>
          <w:p w14:paraId="74FFBE0B" w14:textId="3FB887A8" w:rsidR="00540B84" w:rsidRPr="00F3208D" w:rsidRDefault="00540B84" w:rsidP="009F63B4">
            <w:pPr>
              <w:spacing w:before="20" w:after="20"/>
              <w:jc w:val="center"/>
              <w:rPr>
                <w:rFonts w:ascii="Arial Narrow" w:hAnsi="Arial Narrow" w:cstheme="minorHAnsi"/>
                <w:sz w:val="20"/>
                <w:szCs w:val="20"/>
              </w:rPr>
            </w:pPr>
            <w:r>
              <w:rPr>
                <w:rFonts w:ascii="Arial Narrow" w:hAnsi="Arial Narrow" w:cstheme="minorHAnsi"/>
                <w:sz w:val="20"/>
                <w:szCs w:val="20"/>
              </w:rPr>
              <w:t>08/18</w:t>
            </w:r>
          </w:p>
        </w:tc>
        <w:tc>
          <w:tcPr>
            <w:tcW w:w="2825" w:type="dxa"/>
            <w:vAlign w:val="bottom"/>
          </w:tcPr>
          <w:p w14:paraId="122A9653" w14:textId="1EA1954E" w:rsidR="00540B84" w:rsidRPr="00F3208D" w:rsidRDefault="00540B84" w:rsidP="009F63B4">
            <w:pPr>
              <w:spacing w:before="20" w:after="20"/>
              <w:rPr>
                <w:rFonts w:ascii="Arial Narrow" w:hAnsi="Arial Narrow" w:cstheme="minorHAnsi"/>
                <w:sz w:val="20"/>
                <w:szCs w:val="20"/>
              </w:rPr>
            </w:pPr>
            <w:r>
              <w:rPr>
                <w:rFonts w:ascii="Arial Narrow" w:hAnsi="Arial Narrow" w:cstheme="minorHAnsi"/>
                <w:sz w:val="20"/>
                <w:szCs w:val="20"/>
              </w:rPr>
              <w:t>Arizona Water Company</w:t>
            </w:r>
          </w:p>
        </w:tc>
        <w:tc>
          <w:tcPr>
            <w:tcW w:w="2250" w:type="dxa"/>
            <w:vAlign w:val="bottom"/>
          </w:tcPr>
          <w:p w14:paraId="06D5980B" w14:textId="3BF87415" w:rsidR="00540B84" w:rsidRPr="00F3208D" w:rsidRDefault="00540B84" w:rsidP="009F63B4">
            <w:pPr>
              <w:spacing w:before="20" w:after="20"/>
              <w:rPr>
                <w:rFonts w:ascii="Arial Narrow" w:hAnsi="Arial Narrow" w:cstheme="minorHAnsi"/>
                <w:sz w:val="20"/>
                <w:szCs w:val="20"/>
              </w:rPr>
            </w:pPr>
            <w:r>
              <w:rPr>
                <w:rFonts w:ascii="Arial Narrow" w:hAnsi="Arial Narrow" w:cstheme="minorHAnsi"/>
                <w:sz w:val="20"/>
                <w:szCs w:val="20"/>
              </w:rPr>
              <w:t>Docket No. W01445A-18-0164</w:t>
            </w:r>
          </w:p>
        </w:tc>
        <w:tc>
          <w:tcPr>
            <w:tcW w:w="2070" w:type="dxa"/>
            <w:vAlign w:val="bottom"/>
          </w:tcPr>
          <w:p w14:paraId="4B367FB7" w14:textId="1ABDF70F" w:rsidR="00540B84" w:rsidRPr="00F3208D" w:rsidRDefault="00540B84" w:rsidP="009F63B4">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D647EB" w:rsidRPr="00AC6309" w14:paraId="13DE5F7D" w14:textId="77777777" w:rsidTr="00FD1718">
        <w:trPr>
          <w:trHeight w:val="337"/>
          <w:jc w:val="center"/>
        </w:trPr>
        <w:tc>
          <w:tcPr>
            <w:tcW w:w="10335" w:type="dxa"/>
            <w:gridSpan w:val="5"/>
            <w:shd w:val="clear" w:color="auto" w:fill="D9D9D9" w:themeFill="background1" w:themeFillShade="D9"/>
          </w:tcPr>
          <w:p w14:paraId="48B64769" w14:textId="77777777" w:rsidR="00D647EB" w:rsidRPr="00D647EB" w:rsidRDefault="00D647EB" w:rsidP="00D647EB">
            <w:pPr>
              <w:spacing w:before="20" w:after="20"/>
              <w:rPr>
                <w:rFonts w:ascii="Arial Narrow" w:hAnsi="Arial Narrow" w:cstheme="minorHAnsi"/>
                <w:b/>
                <w:sz w:val="20"/>
                <w:szCs w:val="20"/>
              </w:rPr>
            </w:pPr>
            <w:r w:rsidRPr="00D647EB">
              <w:rPr>
                <w:rFonts w:ascii="Arial Narrow" w:hAnsi="Arial Narrow" w:cstheme="minorHAnsi"/>
                <w:b/>
                <w:sz w:val="20"/>
                <w:szCs w:val="20"/>
              </w:rPr>
              <w:t>Colorado Public Utilities Commission</w:t>
            </w:r>
          </w:p>
        </w:tc>
      </w:tr>
      <w:tr w:rsidR="00A17DDB" w:rsidRPr="00AC6309" w14:paraId="60A71DA3" w14:textId="77777777" w:rsidTr="00FD1718">
        <w:trPr>
          <w:trHeight w:val="274"/>
          <w:jc w:val="center"/>
        </w:trPr>
        <w:tc>
          <w:tcPr>
            <w:tcW w:w="2141" w:type="dxa"/>
          </w:tcPr>
          <w:p w14:paraId="5501F7CE" w14:textId="5EAA3412" w:rsidR="00A17DDB" w:rsidRPr="00D647EB" w:rsidRDefault="001E7BFA" w:rsidP="00B744DE">
            <w:pPr>
              <w:spacing w:before="20" w:after="20"/>
              <w:rPr>
                <w:rFonts w:ascii="Arial Narrow" w:hAnsi="Arial Narrow" w:cstheme="minorHAnsi"/>
                <w:sz w:val="20"/>
                <w:szCs w:val="20"/>
              </w:rPr>
            </w:pPr>
            <w:r>
              <w:rPr>
                <w:rFonts w:ascii="Arial Narrow" w:hAnsi="Arial Narrow" w:cstheme="minorHAnsi"/>
                <w:sz w:val="20"/>
                <w:szCs w:val="20"/>
              </w:rPr>
              <w:t>Summit Utilities, Inc.</w:t>
            </w:r>
          </w:p>
        </w:tc>
        <w:tc>
          <w:tcPr>
            <w:tcW w:w="1049" w:type="dxa"/>
          </w:tcPr>
          <w:p w14:paraId="478C78EB" w14:textId="0ECA262C" w:rsidR="00A17DDB" w:rsidRPr="00D647EB" w:rsidRDefault="001E7BFA" w:rsidP="00B744DE">
            <w:pPr>
              <w:spacing w:before="20" w:after="20"/>
              <w:ind w:left="-194" w:right="-270"/>
              <w:jc w:val="center"/>
              <w:rPr>
                <w:rFonts w:ascii="Arial Narrow" w:hAnsi="Arial Narrow" w:cstheme="minorHAnsi"/>
                <w:sz w:val="20"/>
                <w:szCs w:val="20"/>
              </w:rPr>
            </w:pPr>
            <w:r>
              <w:rPr>
                <w:rFonts w:ascii="Arial Narrow" w:hAnsi="Arial Narrow" w:cstheme="minorHAnsi"/>
                <w:sz w:val="20"/>
                <w:szCs w:val="20"/>
              </w:rPr>
              <w:t>04/18</w:t>
            </w:r>
          </w:p>
        </w:tc>
        <w:tc>
          <w:tcPr>
            <w:tcW w:w="2825" w:type="dxa"/>
          </w:tcPr>
          <w:p w14:paraId="7307BC77" w14:textId="4F9116E0" w:rsidR="00A17DDB" w:rsidRPr="00D647EB" w:rsidRDefault="001E7BFA" w:rsidP="00B744DE">
            <w:pPr>
              <w:spacing w:before="20" w:after="20"/>
              <w:rPr>
                <w:rFonts w:ascii="Arial Narrow" w:hAnsi="Arial Narrow" w:cstheme="minorHAnsi"/>
                <w:sz w:val="20"/>
                <w:szCs w:val="20"/>
              </w:rPr>
            </w:pPr>
            <w:r>
              <w:rPr>
                <w:rFonts w:ascii="Arial Narrow" w:hAnsi="Arial Narrow" w:cstheme="minorHAnsi"/>
                <w:sz w:val="20"/>
                <w:szCs w:val="20"/>
              </w:rPr>
              <w:t>Colorado Natural Gas Company</w:t>
            </w:r>
          </w:p>
        </w:tc>
        <w:tc>
          <w:tcPr>
            <w:tcW w:w="2250" w:type="dxa"/>
          </w:tcPr>
          <w:p w14:paraId="0AD60D0E" w14:textId="7B9A6597" w:rsidR="00A17DDB" w:rsidRPr="00D647EB" w:rsidRDefault="00A17DDB" w:rsidP="00B744DE">
            <w:pPr>
              <w:spacing w:before="20" w:after="20"/>
              <w:rPr>
                <w:rFonts w:ascii="Arial Narrow" w:hAnsi="Arial Narrow" w:cstheme="minorHAnsi"/>
                <w:sz w:val="20"/>
                <w:szCs w:val="20"/>
              </w:rPr>
            </w:pPr>
            <w:r w:rsidRPr="00D647EB">
              <w:rPr>
                <w:rFonts w:ascii="Arial Narrow" w:hAnsi="Arial Narrow" w:cstheme="minorHAnsi"/>
                <w:sz w:val="20"/>
                <w:szCs w:val="20"/>
              </w:rPr>
              <w:t>Docket No. 1</w:t>
            </w:r>
            <w:r w:rsidR="001E7BFA">
              <w:rPr>
                <w:rFonts w:ascii="Arial Narrow" w:hAnsi="Arial Narrow" w:cstheme="minorHAnsi"/>
                <w:sz w:val="20"/>
                <w:szCs w:val="20"/>
              </w:rPr>
              <w:t>8</w:t>
            </w:r>
            <w:r w:rsidRPr="00D647EB">
              <w:rPr>
                <w:rFonts w:ascii="Arial Narrow" w:hAnsi="Arial Narrow" w:cstheme="minorHAnsi"/>
                <w:sz w:val="20"/>
                <w:szCs w:val="20"/>
              </w:rPr>
              <w:t>AL-</w:t>
            </w:r>
            <w:r w:rsidR="001E7BFA">
              <w:rPr>
                <w:rFonts w:ascii="Arial Narrow" w:hAnsi="Arial Narrow" w:cstheme="minorHAnsi"/>
                <w:sz w:val="20"/>
                <w:szCs w:val="20"/>
              </w:rPr>
              <w:t>0305</w:t>
            </w:r>
            <w:r w:rsidRPr="00D647EB">
              <w:rPr>
                <w:rFonts w:ascii="Arial Narrow" w:hAnsi="Arial Narrow" w:cstheme="minorHAnsi"/>
                <w:sz w:val="20"/>
                <w:szCs w:val="20"/>
              </w:rPr>
              <w:t>G</w:t>
            </w:r>
          </w:p>
        </w:tc>
        <w:tc>
          <w:tcPr>
            <w:tcW w:w="2070" w:type="dxa"/>
          </w:tcPr>
          <w:p w14:paraId="50BF943F" w14:textId="77777777" w:rsidR="00A17DDB" w:rsidRPr="00D647EB" w:rsidRDefault="00A17DDB" w:rsidP="00B744DE">
            <w:pPr>
              <w:spacing w:before="20" w:after="20"/>
              <w:rPr>
                <w:rFonts w:ascii="Arial Narrow" w:hAnsi="Arial Narrow" w:cstheme="minorHAnsi"/>
                <w:sz w:val="20"/>
                <w:szCs w:val="20"/>
              </w:rPr>
            </w:pPr>
            <w:r w:rsidRPr="00D647EB">
              <w:rPr>
                <w:rFonts w:ascii="Arial Narrow" w:hAnsi="Arial Narrow" w:cstheme="minorHAnsi"/>
                <w:sz w:val="20"/>
                <w:szCs w:val="20"/>
              </w:rPr>
              <w:t>Return on Equity</w:t>
            </w:r>
          </w:p>
        </w:tc>
      </w:tr>
      <w:tr w:rsidR="001E7BFA" w:rsidRPr="00AC6309" w14:paraId="0B1500B8" w14:textId="77777777" w:rsidTr="00FD1718">
        <w:trPr>
          <w:trHeight w:val="259"/>
          <w:jc w:val="center"/>
        </w:trPr>
        <w:tc>
          <w:tcPr>
            <w:tcW w:w="2141" w:type="dxa"/>
          </w:tcPr>
          <w:p w14:paraId="6773A058" w14:textId="59CAD4AF" w:rsidR="001E7BFA" w:rsidRPr="00D647EB" w:rsidRDefault="001E7BFA" w:rsidP="001E7BFA">
            <w:pPr>
              <w:spacing w:before="20" w:after="20"/>
              <w:rPr>
                <w:rFonts w:ascii="Arial Narrow" w:hAnsi="Arial Narrow" w:cstheme="minorHAnsi"/>
                <w:sz w:val="20"/>
                <w:szCs w:val="20"/>
              </w:rPr>
            </w:pPr>
            <w:r w:rsidRPr="00D647EB">
              <w:rPr>
                <w:rFonts w:ascii="Arial Narrow" w:hAnsi="Arial Narrow" w:cstheme="minorHAnsi"/>
                <w:sz w:val="20"/>
                <w:szCs w:val="20"/>
              </w:rPr>
              <w:t>Atmos Energy Corporation</w:t>
            </w:r>
          </w:p>
        </w:tc>
        <w:tc>
          <w:tcPr>
            <w:tcW w:w="1049" w:type="dxa"/>
          </w:tcPr>
          <w:p w14:paraId="59DB4EF9" w14:textId="554E1564" w:rsidR="001E7BFA" w:rsidRPr="00D647EB" w:rsidRDefault="001E7BFA" w:rsidP="001E7BFA">
            <w:pPr>
              <w:spacing w:before="20" w:after="20"/>
              <w:ind w:left="-194" w:right="-270"/>
              <w:jc w:val="center"/>
              <w:rPr>
                <w:rFonts w:ascii="Arial Narrow" w:hAnsi="Arial Narrow" w:cstheme="minorHAnsi"/>
                <w:sz w:val="20"/>
                <w:szCs w:val="20"/>
              </w:rPr>
            </w:pPr>
            <w:r w:rsidRPr="00D647EB">
              <w:rPr>
                <w:rFonts w:ascii="Arial Narrow" w:hAnsi="Arial Narrow" w:cstheme="minorHAnsi"/>
                <w:sz w:val="20"/>
                <w:szCs w:val="20"/>
              </w:rPr>
              <w:t>06/17</w:t>
            </w:r>
          </w:p>
        </w:tc>
        <w:tc>
          <w:tcPr>
            <w:tcW w:w="2825" w:type="dxa"/>
          </w:tcPr>
          <w:p w14:paraId="4D717BBA" w14:textId="2F9772AC" w:rsidR="001E7BFA" w:rsidRPr="00D647EB" w:rsidRDefault="001E7BFA" w:rsidP="001E7BFA">
            <w:pPr>
              <w:spacing w:before="20" w:after="20"/>
              <w:rPr>
                <w:rFonts w:ascii="Arial Narrow" w:hAnsi="Arial Narrow" w:cstheme="minorHAnsi"/>
                <w:sz w:val="20"/>
                <w:szCs w:val="20"/>
              </w:rPr>
            </w:pPr>
            <w:r w:rsidRPr="00D647EB">
              <w:rPr>
                <w:rFonts w:ascii="Arial Narrow" w:hAnsi="Arial Narrow" w:cstheme="minorHAnsi"/>
                <w:sz w:val="20"/>
                <w:szCs w:val="20"/>
              </w:rPr>
              <w:t>Atmos Energy Corporation</w:t>
            </w:r>
          </w:p>
        </w:tc>
        <w:tc>
          <w:tcPr>
            <w:tcW w:w="2250" w:type="dxa"/>
          </w:tcPr>
          <w:p w14:paraId="15A45D2C" w14:textId="6017060D" w:rsidR="001E7BFA" w:rsidRPr="00D647EB" w:rsidRDefault="001E7BFA" w:rsidP="001E7BFA">
            <w:pPr>
              <w:spacing w:before="20" w:after="20"/>
              <w:rPr>
                <w:rFonts w:ascii="Arial Narrow" w:hAnsi="Arial Narrow" w:cstheme="minorHAnsi"/>
                <w:sz w:val="20"/>
                <w:szCs w:val="20"/>
              </w:rPr>
            </w:pPr>
            <w:r w:rsidRPr="00D647EB">
              <w:rPr>
                <w:rFonts w:ascii="Arial Narrow" w:hAnsi="Arial Narrow" w:cstheme="minorHAnsi"/>
                <w:sz w:val="20"/>
                <w:szCs w:val="20"/>
              </w:rPr>
              <w:t>Docket No. 17AL-0429G</w:t>
            </w:r>
          </w:p>
        </w:tc>
        <w:tc>
          <w:tcPr>
            <w:tcW w:w="2070" w:type="dxa"/>
          </w:tcPr>
          <w:p w14:paraId="5D972937" w14:textId="6E500B31" w:rsidR="001E7BFA" w:rsidRPr="00D647EB" w:rsidRDefault="001E7BFA" w:rsidP="001E7BFA">
            <w:pPr>
              <w:spacing w:before="20" w:after="20"/>
              <w:rPr>
                <w:rFonts w:ascii="Arial Narrow" w:hAnsi="Arial Narrow" w:cstheme="minorHAnsi"/>
                <w:sz w:val="20"/>
                <w:szCs w:val="20"/>
              </w:rPr>
            </w:pPr>
            <w:r w:rsidRPr="00D647EB">
              <w:rPr>
                <w:rFonts w:ascii="Arial Narrow" w:hAnsi="Arial Narrow" w:cstheme="minorHAnsi"/>
                <w:sz w:val="20"/>
                <w:szCs w:val="20"/>
              </w:rPr>
              <w:t>Return on Equity</w:t>
            </w:r>
          </w:p>
        </w:tc>
      </w:tr>
      <w:tr w:rsidR="001E7BFA" w:rsidRPr="00AC6309" w14:paraId="6660BF27" w14:textId="77777777" w:rsidTr="00FD1718">
        <w:trPr>
          <w:trHeight w:val="274"/>
          <w:jc w:val="center"/>
        </w:trPr>
        <w:tc>
          <w:tcPr>
            <w:tcW w:w="10335" w:type="dxa"/>
            <w:gridSpan w:val="5"/>
            <w:shd w:val="clear" w:color="auto" w:fill="D9D9D9" w:themeFill="background1" w:themeFillShade="D9"/>
            <w:vAlign w:val="bottom"/>
          </w:tcPr>
          <w:p w14:paraId="0628CD83"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Delaware Public Service Commission</w:t>
            </w:r>
          </w:p>
        </w:tc>
      </w:tr>
      <w:tr w:rsidR="001E7BFA" w:rsidRPr="00AC6309" w14:paraId="4068992B" w14:textId="77777777" w:rsidTr="00FD1718">
        <w:trPr>
          <w:trHeight w:val="259"/>
          <w:jc w:val="center"/>
        </w:trPr>
        <w:tc>
          <w:tcPr>
            <w:tcW w:w="2141" w:type="dxa"/>
            <w:vAlign w:val="bottom"/>
          </w:tcPr>
          <w:p w14:paraId="28922D96"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Tidewater Utilities, Inc.</w:t>
            </w:r>
          </w:p>
        </w:tc>
        <w:tc>
          <w:tcPr>
            <w:tcW w:w="1049" w:type="dxa"/>
            <w:vAlign w:val="bottom"/>
          </w:tcPr>
          <w:p w14:paraId="0AEB94FC"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11/13</w:t>
            </w:r>
          </w:p>
        </w:tc>
        <w:tc>
          <w:tcPr>
            <w:tcW w:w="2825" w:type="dxa"/>
            <w:vAlign w:val="bottom"/>
          </w:tcPr>
          <w:p w14:paraId="0ABF3196"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Tidewater Utilities, Inc.</w:t>
            </w:r>
          </w:p>
        </w:tc>
        <w:tc>
          <w:tcPr>
            <w:tcW w:w="2250" w:type="dxa"/>
            <w:vAlign w:val="bottom"/>
          </w:tcPr>
          <w:p w14:paraId="63DDF725"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13-466</w:t>
            </w:r>
          </w:p>
        </w:tc>
        <w:tc>
          <w:tcPr>
            <w:tcW w:w="2070" w:type="dxa"/>
            <w:vAlign w:val="bottom"/>
          </w:tcPr>
          <w:p w14:paraId="555F345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Capital Structure</w:t>
            </w:r>
          </w:p>
        </w:tc>
      </w:tr>
      <w:tr w:rsidR="001E7BFA" w:rsidRPr="00AC6309" w14:paraId="417D1359" w14:textId="77777777" w:rsidTr="00FD1718">
        <w:trPr>
          <w:trHeight w:val="274"/>
          <w:jc w:val="center"/>
        </w:trPr>
        <w:tc>
          <w:tcPr>
            <w:tcW w:w="10335" w:type="dxa"/>
            <w:gridSpan w:val="5"/>
            <w:shd w:val="clear" w:color="auto" w:fill="D9D9D9" w:themeFill="background1" w:themeFillShade="D9"/>
            <w:vAlign w:val="bottom"/>
          </w:tcPr>
          <w:p w14:paraId="07C8E81B"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Hawaii Public Utilities Commission</w:t>
            </w:r>
          </w:p>
        </w:tc>
      </w:tr>
      <w:tr w:rsidR="001E7BFA" w:rsidRPr="00AC6309" w14:paraId="0A8687BA" w14:textId="77777777" w:rsidTr="00FD1718">
        <w:trPr>
          <w:trHeight w:val="274"/>
          <w:jc w:val="center"/>
        </w:trPr>
        <w:tc>
          <w:tcPr>
            <w:tcW w:w="2141" w:type="dxa"/>
            <w:vAlign w:val="bottom"/>
          </w:tcPr>
          <w:p w14:paraId="765C185E" w14:textId="77777777" w:rsidR="001E7BFA" w:rsidRPr="00F3208D" w:rsidRDefault="001E7BFA" w:rsidP="001E7BFA">
            <w:pPr>
              <w:spacing w:before="20" w:after="20"/>
              <w:rPr>
                <w:rFonts w:ascii="Arial Narrow" w:hAnsi="Arial Narrow" w:cstheme="minorHAnsi"/>
                <w:sz w:val="20"/>
                <w:szCs w:val="20"/>
              </w:rPr>
            </w:pPr>
            <w:proofErr w:type="spellStart"/>
            <w:r>
              <w:rPr>
                <w:rFonts w:ascii="Arial Narrow" w:hAnsi="Arial Narrow" w:cstheme="minorHAnsi"/>
                <w:sz w:val="20"/>
                <w:szCs w:val="20"/>
              </w:rPr>
              <w:t>Kaupulehu</w:t>
            </w:r>
            <w:proofErr w:type="spellEnd"/>
            <w:r>
              <w:rPr>
                <w:rFonts w:ascii="Arial Narrow" w:hAnsi="Arial Narrow" w:cstheme="minorHAnsi"/>
                <w:sz w:val="20"/>
                <w:szCs w:val="20"/>
              </w:rPr>
              <w:t xml:space="preserve"> Water Company</w:t>
            </w:r>
          </w:p>
        </w:tc>
        <w:tc>
          <w:tcPr>
            <w:tcW w:w="1049" w:type="dxa"/>
            <w:vAlign w:val="bottom"/>
          </w:tcPr>
          <w:p w14:paraId="461FC296"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02/18</w:t>
            </w:r>
          </w:p>
        </w:tc>
        <w:tc>
          <w:tcPr>
            <w:tcW w:w="2825" w:type="dxa"/>
            <w:vAlign w:val="bottom"/>
          </w:tcPr>
          <w:p w14:paraId="4B78D8D2" w14:textId="77777777" w:rsidR="001E7BFA" w:rsidRPr="00F3208D" w:rsidRDefault="001E7BFA" w:rsidP="001E7BFA">
            <w:pPr>
              <w:spacing w:before="20" w:after="20"/>
              <w:rPr>
                <w:rFonts w:ascii="Arial Narrow" w:hAnsi="Arial Narrow" w:cstheme="minorHAnsi"/>
                <w:sz w:val="20"/>
                <w:szCs w:val="20"/>
              </w:rPr>
            </w:pPr>
            <w:proofErr w:type="spellStart"/>
            <w:r>
              <w:rPr>
                <w:rFonts w:ascii="Arial Narrow" w:hAnsi="Arial Narrow" w:cstheme="minorHAnsi"/>
                <w:sz w:val="20"/>
                <w:szCs w:val="20"/>
              </w:rPr>
              <w:t>Kaupulehu</w:t>
            </w:r>
            <w:proofErr w:type="spellEnd"/>
            <w:r>
              <w:rPr>
                <w:rFonts w:ascii="Arial Narrow" w:hAnsi="Arial Narrow" w:cstheme="minorHAnsi"/>
                <w:sz w:val="20"/>
                <w:szCs w:val="20"/>
              </w:rPr>
              <w:t xml:space="preserve"> Water Company</w:t>
            </w:r>
          </w:p>
        </w:tc>
        <w:tc>
          <w:tcPr>
            <w:tcW w:w="2250" w:type="dxa"/>
            <w:vAlign w:val="bottom"/>
          </w:tcPr>
          <w:p w14:paraId="7622D271" w14:textId="7D2F6590"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 xml:space="preserve">Docket No. </w:t>
            </w:r>
            <w:r w:rsidR="00540B84">
              <w:rPr>
                <w:rFonts w:ascii="Arial Narrow" w:hAnsi="Arial Narrow" w:cstheme="minorHAnsi"/>
                <w:sz w:val="20"/>
                <w:szCs w:val="20"/>
              </w:rPr>
              <w:t>2016-0363</w:t>
            </w:r>
          </w:p>
        </w:tc>
        <w:tc>
          <w:tcPr>
            <w:tcW w:w="2070" w:type="dxa"/>
            <w:vAlign w:val="bottom"/>
          </w:tcPr>
          <w:p w14:paraId="30F0374E"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644FFEC3" w14:textId="77777777" w:rsidTr="00FD1718">
        <w:trPr>
          <w:trHeight w:val="259"/>
          <w:jc w:val="center"/>
        </w:trPr>
        <w:tc>
          <w:tcPr>
            <w:tcW w:w="2141" w:type="dxa"/>
            <w:vAlign w:val="bottom"/>
          </w:tcPr>
          <w:p w14:paraId="66119C9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Aqua Engineers, LLC</w:t>
            </w:r>
          </w:p>
        </w:tc>
        <w:tc>
          <w:tcPr>
            <w:tcW w:w="1049" w:type="dxa"/>
            <w:vAlign w:val="bottom"/>
          </w:tcPr>
          <w:p w14:paraId="4CB2667D"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5/17</w:t>
            </w:r>
          </w:p>
        </w:tc>
        <w:tc>
          <w:tcPr>
            <w:tcW w:w="2825" w:type="dxa"/>
            <w:vAlign w:val="bottom"/>
          </w:tcPr>
          <w:p w14:paraId="7312A45F" w14:textId="77777777" w:rsidR="001E7BFA" w:rsidRPr="00F3208D" w:rsidRDefault="001E7BFA" w:rsidP="001E7BFA">
            <w:pPr>
              <w:spacing w:before="20" w:after="20"/>
              <w:rPr>
                <w:rFonts w:ascii="Arial Narrow" w:hAnsi="Arial Narrow" w:cstheme="minorHAnsi"/>
                <w:sz w:val="20"/>
                <w:szCs w:val="20"/>
              </w:rPr>
            </w:pPr>
            <w:proofErr w:type="spellStart"/>
            <w:r w:rsidRPr="00F3208D">
              <w:rPr>
                <w:rFonts w:ascii="Arial Narrow" w:hAnsi="Arial Narrow" w:cstheme="minorHAnsi"/>
                <w:sz w:val="20"/>
                <w:szCs w:val="20"/>
              </w:rPr>
              <w:t>Puhi</w:t>
            </w:r>
            <w:proofErr w:type="spellEnd"/>
            <w:r w:rsidRPr="00F3208D">
              <w:rPr>
                <w:rFonts w:ascii="Arial Narrow" w:hAnsi="Arial Narrow" w:cstheme="minorHAnsi"/>
                <w:sz w:val="20"/>
                <w:szCs w:val="20"/>
              </w:rPr>
              <w:t xml:space="preserve"> Sewer &amp; Water Company</w:t>
            </w:r>
          </w:p>
        </w:tc>
        <w:tc>
          <w:tcPr>
            <w:tcW w:w="2250" w:type="dxa"/>
            <w:vAlign w:val="bottom"/>
          </w:tcPr>
          <w:p w14:paraId="2D38BDF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2017-0118</w:t>
            </w:r>
          </w:p>
        </w:tc>
        <w:tc>
          <w:tcPr>
            <w:tcW w:w="2070" w:type="dxa"/>
            <w:vAlign w:val="bottom"/>
          </w:tcPr>
          <w:p w14:paraId="74DD2E8E"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Cost of Service / Rate Design</w:t>
            </w:r>
          </w:p>
        </w:tc>
      </w:tr>
      <w:tr w:rsidR="001E7BFA" w:rsidRPr="00AC6309" w14:paraId="0E6F5364" w14:textId="77777777" w:rsidTr="00FD1718">
        <w:trPr>
          <w:trHeight w:val="274"/>
          <w:jc w:val="center"/>
        </w:trPr>
        <w:tc>
          <w:tcPr>
            <w:tcW w:w="2141" w:type="dxa"/>
            <w:vAlign w:val="bottom"/>
          </w:tcPr>
          <w:p w14:paraId="6BED5E5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Hawaii Resources, Inc.</w:t>
            </w:r>
          </w:p>
        </w:tc>
        <w:tc>
          <w:tcPr>
            <w:tcW w:w="1049" w:type="dxa"/>
            <w:vAlign w:val="bottom"/>
          </w:tcPr>
          <w:p w14:paraId="0C4A530F"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09/16</w:t>
            </w:r>
          </w:p>
        </w:tc>
        <w:tc>
          <w:tcPr>
            <w:tcW w:w="2825" w:type="dxa"/>
            <w:vAlign w:val="bottom"/>
          </w:tcPr>
          <w:p w14:paraId="1A611355" w14:textId="77777777" w:rsidR="001E7BFA" w:rsidRPr="00F3208D" w:rsidRDefault="001E7BFA" w:rsidP="001E7BFA">
            <w:pPr>
              <w:spacing w:before="20" w:after="20"/>
              <w:rPr>
                <w:rFonts w:ascii="Arial Narrow" w:hAnsi="Arial Narrow" w:cstheme="minorHAnsi"/>
                <w:sz w:val="20"/>
                <w:szCs w:val="20"/>
              </w:rPr>
            </w:pPr>
            <w:proofErr w:type="spellStart"/>
            <w:r w:rsidRPr="00F3208D">
              <w:rPr>
                <w:rFonts w:ascii="Arial Narrow" w:hAnsi="Arial Narrow" w:cstheme="minorHAnsi"/>
                <w:sz w:val="20"/>
                <w:szCs w:val="20"/>
              </w:rPr>
              <w:t>Laie</w:t>
            </w:r>
            <w:proofErr w:type="spellEnd"/>
            <w:r w:rsidRPr="00F3208D">
              <w:rPr>
                <w:rFonts w:ascii="Arial Narrow" w:hAnsi="Arial Narrow" w:cstheme="minorHAnsi"/>
                <w:sz w:val="20"/>
                <w:szCs w:val="20"/>
              </w:rPr>
              <w:t xml:space="preserve"> Water Company</w:t>
            </w:r>
          </w:p>
        </w:tc>
        <w:tc>
          <w:tcPr>
            <w:tcW w:w="2250" w:type="dxa"/>
            <w:vAlign w:val="bottom"/>
          </w:tcPr>
          <w:p w14:paraId="192F762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2016-0229</w:t>
            </w:r>
          </w:p>
        </w:tc>
        <w:tc>
          <w:tcPr>
            <w:tcW w:w="2070" w:type="dxa"/>
            <w:vAlign w:val="bottom"/>
          </w:tcPr>
          <w:p w14:paraId="4CD47A94"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Cost of Service / Rate Design</w:t>
            </w:r>
          </w:p>
        </w:tc>
      </w:tr>
      <w:tr w:rsidR="001E7BFA" w:rsidRPr="00AC6309" w14:paraId="013A01A7" w14:textId="77777777" w:rsidTr="00FD1718">
        <w:trPr>
          <w:trHeight w:val="274"/>
          <w:jc w:val="center"/>
        </w:trPr>
        <w:tc>
          <w:tcPr>
            <w:tcW w:w="10335" w:type="dxa"/>
            <w:gridSpan w:val="5"/>
            <w:shd w:val="clear" w:color="auto" w:fill="D9D9D9" w:themeFill="background1" w:themeFillShade="D9"/>
            <w:vAlign w:val="bottom"/>
          </w:tcPr>
          <w:p w14:paraId="5FDECBB6"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Illinois Commerce Commission</w:t>
            </w:r>
          </w:p>
        </w:tc>
      </w:tr>
      <w:tr w:rsidR="001E7BFA" w:rsidRPr="00AC6309" w14:paraId="35B20CE0" w14:textId="77777777" w:rsidTr="00FD1718">
        <w:trPr>
          <w:trHeight w:val="259"/>
          <w:jc w:val="center"/>
        </w:trPr>
        <w:tc>
          <w:tcPr>
            <w:tcW w:w="2141" w:type="dxa"/>
            <w:vAlign w:val="bottom"/>
          </w:tcPr>
          <w:p w14:paraId="295E12CD"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Utility Services of Illinois, Inc.</w:t>
            </w:r>
          </w:p>
        </w:tc>
        <w:tc>
          <w:tcPr>
            <w:tcW w:w="1049" w:type="dxa"/>
            <w:vAlign w:val="bottom"/>
          </w:tcPr>
          <w:p w14:paraId="1903FF9E"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11</w:t>
            </w:r>
            <w:r w:rsidRPr="00F3208D">
              <w:rPr>
                <w:rFonts w:ascii="Arial Narrow" w:hAnsi="Arial Narrow" w:cstheme="minorHAnsi"/>
                <w:sz w:val="20"/>
                <w:szCs w:val="20"/>
              </w:rPr>
              <w:t>/17</w:t>
            </w:r>
          </w:p>
        </w:tc>
        <w:tc>
          <w:tcPr>
            <w:tcW w:w="2825" w:type="dxa"/>
            <w:vAlign w:val="bottom"/>
          </w:tcPr>
          <w:p w14:paraId="497217C4"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Utility Services of Illinois, Inc.</w:t>
            </w:r>
          </w:p>
        </w:tc>
        <w:tc>
          <w:tcPr>
            <w:tcW w:w="2250" w:type="dxa"/>
            <w:vAlign w:val="bottom"/>
          </w:tcPr>
          <w:p w14:paraId="3906A7B6"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17-</w:t>
            </w:r>
            <w:r>
              <w:rPr>
                <w:rFonts w:ascii="Arial Narrow" w:hAnsi="Arial Narrow" w:cstheme="minorHAnsi"/>
                <w:sz w:val="20"/>
                <w:szCs w:val="20"/>
              </w:rPr>
              <w:t>1106</w:t>
            </w:r>
          </w:p>
        </w:tc>
        <w:tc>
          <w:tcPr>
            <w:tcW w:w="2070" w:type="dxa"/>
            <w:vAlign w:val="bottom"/>
          </w:tcPr>
          <w:p w14:paraId="4F5CC9AF"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Cost of Service / Rate Design</w:t>
            </w:r>
          </w:p>
        </w:tc>
      </w:tr>
      <w:tr w:rsidR="001E7BFA" w:rsidRPr="00AC6309" w14:paraId="1730C698" w14:textId="77777777" w:rsidTr="00FD1718">
        <w:trPr>
          <w:trHeight w:val="274"/>
          <w:jc w:val="center"/>
        </w:trPr>
        <w:tc>
          <w:tcPr>
            <w:tcW w:w="2141" w:type="dxa"/>
            <w:vAlign w:val="bottom"/>
          </w:tcPr>
          <w:p w14:paraId="0AA4C01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Aqua Illinois, Inc.</w:t>
            </w:r>
          </w:p>
        </w:tc>
        <w:tc>
          <w:tcPr>
            <w:tcW w:w="1049" w:type="dxa"/>
            <w:vAlign w:val="bottom"/>
          </w:tcPr>
          <w:p w14:paraId="6D6A46F0"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4/17</w:t>
            </w:r>
          </w:p>
        </w:tc>
        <w:tc>
          <w:tcPr>
            <w:tcW w:w="2825" w:type="dxa"/>
            <w:vAlign w:val="bottom"/>
          </w:tcPr>
          <w:p w14:paraId="2130467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Aqua Illinois, Inc.</w:t>
            </w:r>
          </w:p>
        </w:tc>
        <w:tc>
          <w:tcPr>
            <w:tcW w:w="2250" w:type="dxa"/>
            <w:vAlign w:val="bottom"/>
          </w:tcPr>
          <w:p w14:paraId="540B548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17-0259</w:t>
            </w:r>
          </w:p>
        </w:tc>
        <w:tc>
          <w:tcPr>
            <w:tcW w:w="2070" w:type="dxa"/>
            <w:vAlign w:val="bottom"/>
          </w:tcPr>
          <w:p w14:paraId="51B7E74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206021C2" w14:textId="77777777" w:rsidTr="00FD1718">
        <w:trPr>
          <w:trHeight w:val="274"/>
          <w:jc w:val="center"/>
        </w:trPr>
        <w:tc>
          <w:tcPr>
            <w:tcW w:w="2141" w:type="dxa"/>
            <w:vAlign w:val="bottom"/>
          </w:tcPr>
          <w:p w14:paraId="453F7E5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Utility Services of Illinois, Inc.</w:t>
            </w:r>
          </w:p>
        </w:tc>
        <w:tc>
          <w:tcPr>
            <w:tcW w:w="1049" w:type="dxa"/>
            <w:vAlign w:val="bottom"/>
          </w:tcPr>
          <w:p w14:paraId="2FDF00F6"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4/15</w:t>
            </w:r>
          </w:p>
        </w:tc>
        <w:tc>
          <w:tcPr>
            <w:tcW w:w="2825" w:type="dxa"/>
            <w:vAlign w:val="bottom"/>
          </w:tcPr>
          <w:p w14:paraId="1934B50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Utility Services of Illinois, Inc.</w:t>
            </w:r>
          </w:p>
        </w:tc>
        <w:tc>
          <w:tcPr>
            <w:tcW w:w="2250" w:type="dxa"/>
            <w:vAlign w:val="bottom"/>
          </w:tcPr>
          <w:p w14:paraId="1611E1AE"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14-0741</w:t>
            </w:r>
          </w:p>
        </w:tc>
        <w:tc>
          <w:tcPr>
            <w:tcW w:w="2070" w:type="dxa"/>
            <w:vAlign w:val="bottom"/>
          </w:tcPr>
          <w:p w14:paraId="470B87A8"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3124E8C9" w14:textId="77777777" w:rsidTr="00FD1718">
        <w:trPr>
          <w:trHeight w:val="259"/>
          <w:jc w:val="center"/>
        </w:trPr>
        <w:tc>
          <w:tcPr>
            <w:tcW w:w="10335" w:type="dxa"/>
            <w:gridSpan w:val="5"/>
            <w:shd w:val="clear" w:color="auto" w:fill="D9D9D9" w:themeFill="background1" w:themeFillShade="D9"/>
            <w:vAlign w:val="bottom"/>
          </w:tcPr>
          <w:p w14:paraId="22FBCE45"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b/>
                <w:sz w:val="20"/>
                <w:szCs w:val="20"/>
              </w:rPr>
              <w:t>Indiana Utility Regulatory Commission</w:t>
            </w:r>
          </w:p>
        </w:tc>
      </w:tr>
      <w:tr w:rsidR="001E7BFA" w:rsidRPr="00AC6309" w14:paraId="414BC703" w14:textId="77777777" w:rsidTr="00FD1718">
        <w:trPr>
          <w:trHeight w:val="274"/>
          <w:jc w:val="center"/>
        </w:trPr>
        <w:tc>
          <w:tcPr>
            <w:tcW w:w="2141" w:type="dxa"/>
            <w:vAlign w:val="bottom"/>
          </w:tcPr>
          <w:p w14:paraId="700337F1"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 xml:space="preserve">Aqua Indiana, Inc. </w:t>
            </w:r>
          </w:p>
        </w:tc>
        <w:tc>
          <w:tcPr>
            <w:tcW w:w="1049" w:type="dxa"/>
            <w:vAlign w:val="bottom"/>
          </w:tcPr>
          <w:p w14:paraId="4685F8FC"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3/16</w:t>
            </w:r>
          </w:p>
        </w:tc>
        <w:tc>
          <w:tcPr>
            <w:tcW w:w="2825" w:type="dxa"/>
            <w:vAlign w:val="bottom"/>
          </w:tcPr>
          <w:p w14:paraId="1CADACB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 xml:space="preserve">Aqua Indiana, Inc. </w:t>
            </w:r>
            <w:proofErr w:type="spellStart"/>
            <w:r w:rsidRPr="00F3208D">
              <w:rPr>
                <w:rFonts w:ascii="Arial Narrow" w:hAnsi="Arial Narrow" w:cstheme="minorHAnsi"/>
                <w:sz w:val="20"/>
                <w:szCs w:val="20"/>
              </w:rPr>
              <w:t>Aboite</w:t>
            </w:r>
            <w:proofErr w:type="spellEnd"/>
            <w:r w:rsidRPr="00F3208D">
              <w:rPr>
                <w:rFonts w:ascii="Arial Narrow" w:hAnsi="Arial Narrow" w:cstheme="minorHAnsi"/>
                <w:sz w:val="20"/>
                <w:szCs w:val="20"/>
              </w:rPr>
              <w:t xml:space="preserve"> Wastewater Division</w:t>
            </w:r>
          </w:p>
        </w:tc>
        <w:tc>
          <w:tcPr>
            <w:tcW w:w="2250" w:type="dxa"/>
            <w:vAlign w:val="bottom"/>
          </w:tcPr>
          <w:p w14:paraId="4DC6F7A3"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44752</w:t>
            </w:r>
          </w:p>
        </w:tc>
        <w:tc>
          <w:tcPr>
            <w:tcW w:w="2070" w:type="dxa"/>
            <w:vAlign w:val="bottom"/>
          </w:tcPr>
          <w:p w14:paraId="6517134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738B06DD" w14:textId="77777777" w:rsidTr="00FD1718">
        <w:trPr>
          <w:trHeight w:val="259"/>
          <w:jc w:val="center"/>
        </w:trPr>
        <w:tc>
          <w:tcPr>
            <w:tcW w:w="2141" w:type="dxa"/>
            <w:vAlign w:val="bottom"/>
          </w:tcPr>
          <w:p w14:paraId="131EA2B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Twin Lakes, Utilities, Inc.</w:t>
            </w:r>
          </w:p>
        </w:tc>
        <w:tc>
          <w:tcPr>
            <w:tcW w:w="1049" w:type="dxa"/>
            <w:vAlign w:val="bottom"/>
          </w:tcPr>
          <w:p w14:paraId="19554483"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8/13</w:t>
            </w:r>
          </w:p>
        </w:tc>
        <w:tc>
          <w:tcPr>
            <w:tcW w:w="2825" w:type="dxa"/>
            <w:vAlign w:val="bottom"/>
          </w:tcPr>
          <w:p w14:paraId="77321CFE"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Twin Lakes, Utilities, Inc.</w:t>
            </w:r>
          </w:p>
        </w:tc>
        <w:tc>
          <w:tcPr>
            <w:tcW w:w="2250" w:type="dxa"/>
            <w:vAlign w:val="bottom"/>
          </w:tcPr>
          <w:p w14:paraId="588F407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44388</w:t>
            </w:r>
          </w:p>
        </w:tc>
        <w:tc>
          <w:tcPr>
            <w:tcW w:w="2070" w:type="dxa"/>
            <w:vAlign w:val="bottom"/>
          </w:tcPr>
          <w:p w14:paraId="0AA83F24"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2A265AEF" w14:textId="77777777" w:rsidTr="00FD1718">
        <w:trPr>
          <w:trHeight w:val="274"/>
          <w:jc w:val="center"/>
        </w:trPr>
        <w:tc>
          <w:tcPr>
            <w:tcW w:w="10335" w:type="dxa"/>
            <w:gridSpan w:val="5"/>
            <w:shd w:val="clear" w:color="auto" w:fill="D9D9D9" w:themeFill="background1" w:themeFillShade="D9"/>
            <w:vAlign w:val="bottom"/>
          </w:tcPr>
          <w:p w14:paraId="379354BB"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Louisiana Public Service Commission</w:t>
            </w:r>
          </w:p>
        </w:tc>
      </w:tr>
      <w:tr w:rsidR="001E7BFA" w:rsidRPr="00AC6309" w14:paraId="5CF1145B" w14:textId="77777777" w:rsidTr="00FD1718">
        <w:trPr>
          <w:trHeight w:val="274"/>
          <w:jc w:val="center"/>
        </w:trPr>
        <w:tc>
          <w:tcPr>
            <w:tcW w:w="2141" w:type="dxa"/>
            <w:vAlign w:val="bottom"/>
          </w:tcPr>
          <w:p w14:paraId="1C7B43DD"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 xml:space="preserve">Louisiana Water Service, Inc. </w:t>
            </w:r>
          </w:p>
        </w:tc>
        <w:tc>
          <w:tcPr>
            <w:tcW w:w="1049" w:type="dxa"/>
            <w:vAlign w:val="bottom"/>
          </w:tcPr>
          <w:p w14:paraId="3FE7423D"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6/13</w:t>
            </w:r>
          </w:p>
        </w:tc>
        <w:tc>
          <w:tcPr>
            <w:tcW w:w="2825" w:type="dxa"/>
            <w:vAlign w:val="bottom"/>
          </w:tcPr>
          <w:p w14:paraId="25E4E68B"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 xml:space="preserve">Louisiana Water Service, Inc. </w:t>
            </w:r>
          </w:p>
        </w:tc>
        <w:tc>
          <w:tcPr>
            <w:tcW w:w="2250" w:type="dxa"/>
            <w:vAlign w:val="bottom"/>
          </w:tcPr>
          <w:p w14:paraId="596D27CE"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U-32848</w:t>
            </w:r>
          </w:p>
        </w:tc>
        <w:tc>
          <w:tcPr>
            <w:tcW w:w="2070" w:type="dxa"/>
            <w:vAlign w:val="bottom"/>
          </w:tcPr>
          <w:p w14:paraId="4B9CE45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4362A7CE" w14:textId="77777777" w:rsidTr="00FD1718">
        <w:trPr>
          <w:trHeight w:val="259"/>
          <w:jc w:val="center"/>
        </w:trPr>
        <w:tc>
          <w:tcPr>
            <w:tcW w:w="10335" w:type="dxa"/>
            <w:gridSpan w:val="5"/>
            <w:shd w:val="clear" w:color="auto" w:fill="D9D9D9" w:themeFill="background1" w:themeFillShade="D9"/>
            <w:vAlign w:val="bottom"/>
          </w:tcPr>
          <w:p w14:paraId="27A6C1B9"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Massachusetts Department of Public Utilities</w:t>
            </w:r>
          </w:p>
        </w:tc>
      </w:tr>
      <w:tr w:rsidR="001E7BFA" w:rsidRPr="00AC6309" w14:paraId="12D4484D" w14:textId="77777777" w:rsidTr="00FD1718">
        <w:trPr>
          <w:trHeight w:val="503"/>
          <w:jc w:val="center"/>
        </w:trPr>
        <w:tc>
          <w:tcPr>
            <w:tcW w:w="2141" w:type="dxa"/>
            <w:shd w:val="clear" w:color="auto" w:fill="auto"/>
            <w:vAlign w:val="bottom"/>
          </w:tcPr>
          <w:p w14:paraId="3ACC5C4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Liberty Utilities</w:t>
            </w:r>
          </w:p>
        </w:tc>
        <w:tc>
          <w:tcPr>
            <w:tcW w:w="1049" w:type="dxa"/>
            <w:shd w:val="clear" w:color="auto" w:fill="auto"/>
            <w:vAlign w:val="bottom"/>
          </w:tcPr>
          <w:p w14:paraId="4CFC2253"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7/15</w:t>
            </w:r>
          </w:p>
        </w:tc>
        <w:tc>
          <w:tcPr>
            <w:tcW w:w="2825" w:type="dxa"/>
            <w:shd w:val="clear" w:color="auto" w:fill="auto"/>
            <w:vAlign w:val="bottom"/>
          </w:tcPr>
          <w:p w14:paraId="7FBD958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Liberty Utilities d/b/a New England Natural Gas Company</w:t>
            </w:r>
          </w:p>
        </w:tc>
        <w:tc>
          <w:tcPr>
            <w:tcW w:w="2250" w:type="dxa"/>
            <w:shd w:val="clear" w:color="auto" w:fill="auto"/>
            <w:vAlign w:val="bottom"/>
          </w:tcPr>
          <w:p w14:paraId="271E51E8"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15-75</w:t>
            </w:r>
          </w:p>
        </w:tc>
        <w:tc>
          <w:tcPr>
            <w:tcW w:w="2070" w:type="dxa"/>
            <w:shd w:val="clear" w:color="auto" w:fill="auto"/>
            <w:vAlign w:val="bottom"/>
          </w:tcPr>
          <w:p w14:paraId="5139007B"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F3208D" w14:paraId="6685A5D5" w14:textId="77777777" w:rsidTr="00FD1718">
        <w:trPr>
          <w:trHeight w:val="274"/>
          <w:jc w:val="center"/>
        </w:trPr>
        <w:tc>
          <w:tcPr>
            <w:tcW w:w="10335" w:type="dxa"/>
            <w:gridSpan w:val="5"/>
            <w:shd w:val="clear" w:color="auto" w:fill="D9D9D9" w:themeFill="background1" w:themeFillShade="D9"/>
            <w:vAlign w:val="bottom"/>
          </w:tcPr>
          <w:p w14:paraId="6A1C9B7B" w14:textId="2A97305B" w:rsidR="001E7BFA" w:rsidRPr="00F3208D" w:rsidRDefault="001E7BFA" w:rsidP="001E7BFA">
            <w:pPr>
              <w:spacing w:before="20" w:after="20"/>
              <w:rPr>
                <w:rFonts w:ascii="Arial Narrow" w:hAnsi="Arial Narrow" w:cstheme="minorHAnsi"/>
                <w:b/>
                <w:sz w:val="20"/>
                <w:szCs w:val="20"/>
              </w:rPr>
            </w:pPr>
            <w:r>
              <w:rPr>
                <w:rFonts w:ascii="Arial Narrow" w:hAnsi="Arial Narrow" w:cstheme="minorHAnsi"/>
                <w:b/>
                <w:sz w:val="20"/>
                <w:szCs w:val="20"/>
              </w:rPr>
              <w:t>Mississippi Public Service Commission</w:t>
            </w:r>
          </w:p>
        </w:tc>
      </w:tr>
      <w:tr w:rsidR="001E7BFA" w:rsidRPr="00F3208D" w14:paraId="0F1511D6" w14:textId="77777777" w:rsidTr="00FD1718">
        <w:trPr>
          <w:trHeight w:val="274"/>
          <w:jc w:val="center"/>
        </w:trPr>
        <w:tc>
          <w:tcPr>
            <w:tcW w:w="2141" w:type="dxa"/>
            <w:shd w:val="clear" w:color="auto" w:fill="auto"/>
            <w:vAlign w:val="bottom"/>
          </w:tcPr>
          <w:p w14:paraId="3037C8A7" w14:textId="75D3A5DD"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Atmos Energy</w:t>
            </w:r>
          </w:p>
        </w:tc>
        <w:tc>
          <w:tcPr>
            <w:tcW w:w="1049" w:type="dxa"/>
            <w:shd w:val="clear" w:color="auto" w:fill="auto"/>
            <w:vAlign w:val="bottom"/>
          </w:tcPr>
          <w:p w14:paraId="67197433" w14:textId="19FA75D0"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07/18</w:t>
            </w:r>
          </w:p>
        </w:tc>
        <w:tc>
          <w:tcPr>
            <w:tcW w:w="2825" w:type="dxa"/>
            <w:shd w:val="clear" w:color="auto" w:fill="auto"/>
            <w:vAlign w:val="bottom"/>
          </w:tcPr>
          <w:p w14:paraId="568BB7F2" w14:textId="649F66F8"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Atmos Energy</w:t>
            </w:r>
          </w:p>
        </w:tc>
        <w:tc>
          <w:tcPr>
            <w:tcW w:w="2250" w:type="dxa"/>
            <w:shd w:val="clear" w:color="auto" w:fill="auto"/>
            <w:vAlign w:val="bottom"/>
          </w:tcPr>
          <w:p w14:paraId="491C9C93" w14:textId="17C3C471"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Docket No. 2015-UN-049</w:t>
            </w:r>
          </w:p>
        </w:tc>
        <w:tc>
          <w:tcPr>
            <w:tcW w:w="2070" w:type="dxa"/>
            <w:shd w:val="clear" w:color="auto" w:fill="auto"/>
            <w:vAlign w:val="bottom"/>
          </w:tcPr>
          <w:p w14:paraId="69AF8F30" w14:textId="068A2E11"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Capital Structure</w:t>
            </w:r>
          </w:p>
        </w:tc>
      </w:tr>
      <w:tr w:rsidR="001E7BFA" w:rsidRPr="00AC6309" w14:paraId="47332E6A" w14:textId="77777777" w:rsidTr="00FD1718">
        <w:trPr>
          <w:trHeight w:val="259"/>
          <w:jc w:val="center"/>
        </w:trPr>
        <w:tc>
          <w:tcPr>
            <w:tcW w:w="10335" w:type="dxa"/>
            <w:gridSpan w:val="5"/>
            <w:shd w:val="clear" w:color="auto" w:fill="D9D9D9" w:themeFill="background1" w:themeFillShade="D9"/>
            <w:vAlign w:val="bottom"/>
          </w:tcPr>
          <w:p w14:paraId="74E66EBD"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Missouri Public Service Commission</w:t>
            </w:r>
          </w:p>
        </w:tc>
      </w:tr>
      <w:tr w:rsidR="001E7BFA" w:rsidRPr="00AC6309" w14:paraId="1B09451F" w14:textId="77777777" w:rsidTr="00FD1718">
        <w:trPr>
          <w:trHeight w:val="503"/>
          <w:jc w:val="center"/>
        </w:trPr>
        <w:tc>
          <w:tcPr>
            <w:tcW w:w="2141" w:type="dxa"/>
            <w:shd w:val="clear" w:color="auto" w:fill="auto"/>
            <w:vAlign w:val="bottom"/>
          </w:tcPr>
          <w:p w14:paraId="118865C3"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Indian Hills Utility Operating Company, Inc.</w:t>
            </w:r>
          </w:p>
        </w:tc>
        <w:tc>
          <w:tcPr>
            <w:tcW w:w="1049" w:type="dxa"/>
            <w:shd w:val="clear" w:color="auto" w:fill="auto"/>
            <w:vAlign w:val="bottom"/>
          </w:tcPr>
          <w:p w14:paraId="38B4A7BB"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10/17</w:t>
            </w:r>
          </w:p>
        </w:tc>
        <w:tc>
          <w:tcPr>
            <w:tcW w:w="2825" w:type="dxa"/>
            <w:shd w:val="clear" w:color="auto" w:fill="auto"/>
            <w:vAlign w:val="bottom"/>
          </w:tcPr>
          <w:p w14:paraId="05938C20"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Indian Hills Utility Operating Company, Inc.</w:t>
            </w:r>
          </w:p>
        </w:tc>
        <w:tc>
          <w:tcPr>
            <w:tcW w:w="2250" w:type="dxa"/>
            <w:shd w:val="clear" w:color="auto" w:fill="auto"/>
            <w:vAlign w:val="bottom"/>
          </w:tcPr>
          <w:p w14:paraId="08735D47"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Case No. SR-2017-0259</w:t>
            </w:r>
          </w:p>
        </w:tc>
        <w:tc>
          <w:tcPr>
            <w:tcW w:w="2070" w:type="dxa"/>
            <w:shd w:val="clear" w:color="auto" w:fill="auto"/>
            <w:vAlign w:val="bottom"/>
          </w:tcPr>
          <w:p w14:paraId="4CCE225E"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280507EA" w14:textId="77777777" w:rsidTr="00FD1718">
        <w:trPr>
          <w:trHeight w:val="503"/>
          <w:jc w:val="center"/>
        </w:trPr>
        <w:tc>
          <w:tcPr>
            <w:tcW w:w="2141" w:type="dxa"/>
            <w:shd w:val="clear" w:color="auto" w:fill="auto"/>
            <w:vAlign w:val="bottom"/>
          </w:tcPr>
          <w:p w14:paraId="4DAD68FD"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Raccoon Creek Utility Operating Company, Inc.</w:t>
            </w:r>
          </w:p>
        </w:tc>
        <w:tc>
          <w:tcPr>
            <w:tcW w:w="1049" w:type="dxa"/>
            <w:shd w:val="clear" w:color="auto" w:fill="auto"/>
            <w:vAlign w:val="bottom"/>
          </w:tcPr>
          <w:p w14:paraId="10A18AA1"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09/16</w:t>
            </w:r>
          </w:p>
        </w:tc>
        <w:tc>
          <w:tcPr>
            <w:tcW w:w="2825" w:type="dxa"/>
            <w:shd w:val="clear" w:color="auto" w:fill="auto"/>
            <w:vAlign w:val="bottom"/>
          </w:tcPr>
          <w:p w14:paraId="204FF85D"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Raccoon Creek Utility Operating Company, Inc.</w:t>
            </w:r>
          </w:p>
        </w:tc>
        <w:tc>
          <w:tcPr>
            <w:tcW w:w="2250" w:type="dxa"/>
            <w:shd w:val="clear" w:color="auto" w:fill="auto"/>
            <w:vAlign w:val="bottom"/>
          </w:tcPr>
          <w:p w14:paraId="36F7D244"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SR-2016-0202</w:t>
            </w:r>
          </w:p>
        </w:tc>
        <w:tc>
          <w:tcPr>
            <w:tcW w:w="2070" w:type="dxa"/>
            <w:shd w:val="clear" w:color="auto" w:fill="auto"/>
            <w:vAlign w:val="bottom"/>
          </w:tcPr>
          <w:p w14:paraId="5C4A434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71AE6BAD" w14:textId="77777777" w:rsidTr="00FD1718">
        <w:trPr>
          <w:trHeight w:val="274"/>
          <w:jc w:val="center"/>
        </w:trPr>
        <w:tc>
          <w:tcPr>
            <w:tcW w:w="10335" w:type="dxa"/>
            <w:gridSpan w:val="5"/>
            <w:shd w:val="clear" w:color="auto" w:fill="D9D9D9" w:themeFill="background1" w:themeFillShade="D9"/>
            <w:vAlign w:val="bottom"/>
          </w:tcPr>
          <w:p w14:paraId="640D6A28"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New Jersey Board of Public Utilities</w:t>
            </w:r>
          </w:p>
        </w:tc>
      </w:tr>
      <w:tr w:rsidR="00FD1718" w:rsidRPr="00AC6309" w14:paraId="12D532BF" w14:textId="77777777" w:rsidTr="00FD1718">
        <w:trPr>
          <w:trHeight w:val="259"/>
          <w:jc w:val="center"/>
        </w:trPr>
        <w:tc>
          <w:tcPr>
            <w:tcW w:w="2141" w:type="dxa"/>
            <w:vAlign w:val="bottom"/>
          </w:tcPr>
          <w:p w14:paraId="252D5EA2" w14:textId="47C0F379" w:rsidR="00FD1718" w:rsidRPr="00F3208D" w:rsidRDefault="00FD1718" w:rsidP="001E7BFA">
            <w:pPr>
              <w:spacing w:before="20" w:after="20"/>
              <w:rPr>
                <w:rFonts w:ascii="Arial Narrow" w:hAnsi="Arial Narrow" w:cstheme="minorHAnsi"/>
                <w:sz w:val="20"/>
                <w:szCs w:val="20"/>
              </w:rPr>
            </w:pPr>
            <w:r>
              <w:rPr>
                <w:rFonts w:ascii="Arial Narrow" w:hAnsi="Arial Narrow" w:cstheme="minorHAnsi"/>
                <w:sz w:val="20"/>
                <w:szCs w:val="20"/>
              </w:rPr>
              <w:t>Aqua New Jersey, Inc.</w:t>
            </w:r>
          </w:p>
        </w:tc>
        <w:tc>
          <w:tcPr>
            <w:tcW w:w="1049" w:type="dxa"/>
            <w:vAlign w:val="bottom"/>
          </w:tcPr>
          <w:p w14:paraId="58942D37" w14:textId="5EA075D5" w:rsidR="00FD1718" w:rsidRDefault="00FD1718" w:rsidP="001E7BFA">
            <w:pPr>
              <w:spacing w:before="20" w:after="20"/>
              <w:jc w:val="center"/>
              <w:rPr>
                <w:rFonts w:ascii="Arial Narrow" w:hAnsi="Arial Narrow" w:cstheme="minorHAnsi"/>
                <w:sz w:val="20"/>
                <w:szCs w:val="20"/>
              </w:rPr>
            </w:pPr>
            <w:r>
              <w:rPr>
                <w:rFonts w:ascii="Arial Narrow" w:hAnsi="Arial Narrow" w:cstheme="minorHAnsi"/>
                <w:sz w:val="20"/>
                <w:szCs w:val="20"/>
              </w:rPr>
              <w:t>12/18</w:t>
            </w:r>
          </w:p>
        </w:tc>
        <w:tc>
          <w:tcPr>
            <w:tcW w:w="2825" w:type="dxa"/>
            <w:vAlign w:val="bottom"/>
          </w:tcPr>
          <w:p w14:paraId="479771F1" w14:textId="7EF708F3" w:rsidR="00FD1718" w:rsidRPr="00F3208D" w:rsidRDefault="00FD1718" w:rsidP="001E7BFA">
            <w:pPr>
              <w:spacing w:before="20" w:after="20"/>
              <w:rPr>
                <w:rFonts w:ascii="Arial Narrow" w:hAnsi="Arial Narrow" w:cstheme="minorHAnsi"/>
                <w:sz w:val="20"/>
                <w:szCs w:val="20"/>
              </w:rPr>
            </w:pPr>
            <w:r>
              <w:rPr>
                <w:rFonts w:ascii="Arial Narrow" w:hAnsi="Arial Narrow" w:cstheme="minorHAnsi"/>
                <w:sz w:val="20"/>
                <w:szCs w:val="20"/>
              </w:rPr>
              <w:t>Aqua New Jersey, Inc.</w:t>
            </w:r>
          </w:p>
        </w:tc>
        <w:tc>
          <w:tcPr>
            <w:tcW w:w="2250" w:type="dxa"/>
            <w:vAlign w:val="bottom"/>
          </w:tcPr>
          <w:p w14:paraId="17FB1806" w14:textId="534EBAD4" w:rsidR="00FD1718" w:rsidRPr="00F3208D" w:rsidRDefault="00FD1718" w:rsidP="001E7BFA">
            <w:pPr>
              <w:spacing w:before="20" w:after="20"/>
              <w:rPr>
                <w:rFonts w:ascii="Arial Narrow" w:hAnsi="Arial Narrow" w:cstheme="minorHAnsi"/>
                <w:sz w:val="20"/>
                <w:szCs w:val="20"/>
              </w:rPr>
            </w:pPr>
            <w:r>
              <w:rPr>
                <w:rFonts w:ascii="Arial Narrow" w:hAnsi="Arial Narrow" w:cstheme="minorHAnsi"/>
                <w:sz w:val="20"/>
                <w:szCs w:val="20"/>
              </w:rPr>
              <w:t>Docket No. WR18121351</w:t>
            </w:r>
          </w:p>
        </w:tc>
        <w:tc>
          <w:tcPr>
            <w:tcW w:w="2070" w:type="dxa"/>
            <w:vAlign w:val="bottom"/>
          </w:tcPr>
          <w:p w14:paraId="16D5601F" w14:textId="0EA84CCD" w:rsidR="00FD1718" w:rsidRPr="00F3208D" w:rsidRDefault="00FD1718"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2CFC4693" w14:textId="77777777" w:rsidTr="00FD1718">
        <w:trPr>
          <w:trHeight w:val="259"/>
          <w:jc w:val="center"/>
        </w:trPr>
        <w:tc>
          <w:tcPr>
            <w:tcW w:w="2141" w:type="dxa"/>
            <w:vAlign w:val="bottom"/>
          </w:tcPr>
          <w:p w14:paraId="4B65C24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Middlesex Water Company</w:t>
            </w:r>
          </w:p>
        </w:tc>
        <w:tc>
          <w:tcPr>
            <w:tcW w:w="1049" w:type="dxa"/>
            <w:vAlign w:val="bottom"/>
          </w:tcPr>
          <w:p w14:paraId="19DC3149" w14:textId="6D385A5F"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10</w:t>
            </w:r>
            <w:r w:rsidRPr="00F3208D">
              <w:rPr>
                <w:rFonts w:ascii="Arial Narrow" w:hAnsi="Arial Narrow" w:cstheme="minorHAnsi"/>
                <w:sz w:val="20"/>
                <w:szCs w:val="20"/>
              </w:rPr>
              <w:t>/1</w:t>
            </w:r>
            <w:r>
              <w:rPr>
                <w:rFonts w:ascii="Arial Narrow" w:hAnsi="Arial Narrow" w:cstheme="minorHAnsi"/>
                <w:sz w:val="20"/>
                <w:szCs w:val="20"/>
              </w:rPr>
              <w:t>7</w:t>
            </w:r>
          </w:p>
        </w:tc>
        <w:tc>
          <w:tcPr>
            <w:tcW w:w="2825" w:type="dxa"/>
            <w:vAlign w:val="bottom"/>
          </w:tcPr>
          <w:p w14:paraId="2F5B762B"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Middlesex Water Company</w:t>
            </w:r>
          </w:p>
        </w:tc>
        <w:tc>
          <w:tcPr>
            <w:tcW w:w="2250" w:type="dxa"/>
            <w:vAlign w:val="bottom"/>
          </w:tcPr>
          <w:p w14:paraId="62D10F62" w14:textId="592CD24E"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WR</w:t>
            </w:r>
            <w:r>
              <w:rPr>
                <w:rFonts w:ascii="Arial Narrow" w:hAnsi="Arial Narrow" w:cstheme="minorHAnsi"/>
                <w:sz w:val="20"/>
                <w:szCs w:val="20"/>
              </w:rPr>
              <w:t>1710</w:t>
            </w:r>
            <w:r w:rsidR="00FD1718">
              <w:rPr>
                <w:rFonts w:ascii="Arial Narrow" w:hAnsi="Arial Narrow" w:cstheme="minorHAnsi"/>
                <w:sz w:val="20"/>
                <w:szCs w:val="20"/>
              </w:rPr>
              <w:t>1049</w:t>
            </w:r>
          </w:p>
        </w:tc>
        <w:tc>
          <w:tcPr>
            <w:tcW w:w="2070" w:type="dxa"/>
            <w:vAlign w:val="bottom"/>
          </w:tcPr>
          <w:p w14:paraId="0948128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00DBD9C7" w14:textId="77777777" w:rsidTr="00FD1718">
        <w:trPr>
          <w:trHeight w:val="274"/>
          <w:jc w:val="center"/>
        </w:trPr>
        <w:tc>
          <w:tcPr>
            <w:tcW w:w="2141" w:type="dxa"/>
            <w:vAlign w:val="bottom"/>
          </w:tcPr>
          <w:p w14:paraId="652C345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Middlesex Water Company</w:t>
            </w:r>
          </w:p>
        </w:tc>
        <w:tc>
          <w:tcPr>
            <w:tcW w:w="1049" w:type="dxa"/>
            <w:vAlign w:val="bottom"/>
          </w:tcPr>
          <w:p w14:paraId="6BE0DD9F"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3/15</w:t>
            </w:r>
          </w:p>
        </w:tc>
        <w:tc>
          <w:tcPr>
            <w:tcW w:w="2825" w:type="dxa"/>
            <w:vAlign w:val="bottom"/>
          </w:tcPr>
          <w:p w14:paraId="2CA30BC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Middlesex Water Company</w:t>
            </w:r>
          </w:p>
        </w:tc>
        <w:tc>
          <w:tcPr>
            <w:tcW w:w="2250" w:type="dxa"/>
            <w:vAlign w:val="bottom"/>
          </w:tcPr>
          <w:p w14:paraId="0608BF2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WR15030391</w:t>
            </w:r>
          </w:p>
        </w:tc>
        <w:tc>
          <w:tcPr>
            <w:tcW w:w="2070" w:type="dxa"/>
            <w:vAlign w:val="bottom"/>
          </w:tcPr>
          <w:p w14:paraId="189AAC9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21328B12" w14:textId="77777777" w:rsidTr="00FD1718">
        <w:trPr>
          <w:trHeight w:val="503"/>
          <w:jc w:val="center"/>
        </w:trPr>
        <w:tc>
          <w:tcPr>
            <w:tcW w:w="2141" w:type="dxa"/>
            <w:vAlign w:val="bottom"/>
          </w:tcPr>
          <w:p w14:paraId="0D3E4E4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lastRenderedPageBreak/>
              <w:t>The Atlantic City Sewerage Company</w:t>
            </w:r>
          </w:p>
        </w:tc>
        <w:tc>
          <w:tcPr>
            <w:tcW w:w="1049" w:type="dxa"/>
            <w:vAlign w:val="bottom"/>
          </w:tcPr>
          <w:p w14:paraId="2A4CFED7"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10/14</w:t>
            </w:r>
          </w:p>
        </w:tc>
        <w:tc>
          <w:tcPr>
            <w:tcW w:w="2825" w:type="dxa"/>
            <w:vAlign w:val="bottom"/>
          </w:tcPr>
          <w:p w14:paraId="66D93A4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The Atlantic City Sewerage Company</w:t>
            </w:r>
          </w:p>
        </w:tc>
        <w:tc>
          <w:tcPr>
            <w:tcW w:w="2250" w:type="dxa"/>
            <w:vAlign w:val="bottom"/>
          </w:tcPr>
          <w:p w14:paraId="369ED3B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WR14101263</w:t>
            </w:r>
          </w:p>
        </w:tc>
        <w:tc>
          <w:tcPr>
            <w:tcW w:w="2070" w:type="dxa"/>
            <w:vAlign w:val="bottom"/>
          </w:tcPr>
          <w:p w14:paraId="062DAC2A"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Cost of Service / Rate Design</w:t>
            </w:r>
          </w:p>
        </w:tc>
      </w:tr>
      <w:tr w:rsidR="001E7BFA" w:rsidRPr="00AC6309" w14:paraId="50D16647" w14:textId="77777777" w:rsidTr="00FD1718">
        <w:trPr>
          <w:trHeight w:val="259"/>
          <w:jc w:val="center"/>
        </w:trPr>
        <w:tc>
          <w:tcPr>
            <w:tcW w:w="2141" w:type="dxa"/>
            <w:vAlign w:val="bottom"/>
          </w:tcPr>
          <w:p w14:paraId="2B0DF3C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Middlesex Water Company</w:t>
            </w:r>
          </w:p>
        </w:tc>
        <w:tc>
          <w:tcPr>
            <w:tcW w:w="1049" w:type="dxa"/>
            <w:vAlign w:val="bottom"/>
          </w:tcPr>
          <w:p w14:paraId="514DE2A6"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11/13</w:t>
            </w:r>
          </w:p>
        </w:tc>
        <w:tc>
          <w:tcPr>
            <w:tcW w:w="2825" w:type="dxa"/>
            <w:vAlign w:val="bottom"/>
          </w:tcPr>
          <w:p w14:paraId="33FCCD7A"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Middlesex Water Company</w:t>
            </w:r>
          </w:p>
        </w:tc>
        <w:tc>
          <w:tcPr>
            <w:tcW w:w="2250" w:type="dxa"/>
            <w:vAlign w:val="bottom"/>
          </w:tcPr>
          <w:p w14:paraId="04638CA1"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WR1311059</w:t>
            </w:r>
          </w:p>
        </w:tc>
        <w:tc>
          <w:tcPr>
            <w:tcW w:w="2070" w:type="dxa"/>
            <w:vAlign w:val="bottom"/>
          </w:tcPr>
          <w:p w14:paraId="7A169EA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Capital Structure</w:t>
            </w:r>
          </w:p>
        </w:tc>
      </w:tr>
      <w:tr w:rsidR="00540B84" w:rsidRPr="00AC6309" w14:paraId="64111C45" w14:textId="77777777" w:rsidTr="00FD1718">
        <w:trPr>
          <w:trHeight w:val="274"/>
          <w:jc w:val="center"/>
        </w:trPr>
        <w:tc>
          <w:tcPr>
            <w:tcW w:w="10335" w:type="dxa"/>
            <w:gridSpan w:val="5"/>
            <w:shd w:val="clear" w:color="auto" w:fill="D9D9D9" w:themeFill="background1" w:themeFillShade="D9"/>
            <w:vAlign w:val="bottom"/>
          </w:tcPr>
          <w:p w14:paraId="0F87B400" w14:textId="37C0E146" w:rsidR="00540B84" w:rsidRPr="00540B84" w:rsidRDefault="00540B84" w:rsidP="001E7BFA">
            <w:pPr>
              <w:spacing w:before="20" w:after="20"/>
              <w:rPr>
                <w:rFonts w:ascii="Arial Narrow" w:hAnsi="Arial Narrow" w:cstheme="minorHAnsi"/>
                <w:b/>
                <w:sz w:val="20"/>
                <w:szCs w:val="20"/>
              </w:rPr>
            </w:pPr>
            <w:r w:rsidRPr="00540B84">
              <w:rPr>
                <w:rFonts w:ascii="Arial Narrow" w:hAnsi="Arial Narrow" w:cstheme="minorHAnsi"/>
                <w:b/>
                <w:sz w:val="20"/>
                <w:szCs w:val="20"/>
              </w:rPr>
              <w:t>North Carolina Utilities Commission</w:t>
            </w:r>
          </w:p>
        </w:tc>
      </w:tr>
      <w:tr w:rsidR="00540B84" w:rsidRPr="00AC6309" w14:paraId="5FDB65BD" w14:textId="77777777" w:rsidTr="00FD1718">
        <w:trPr>
          <w:trHeight w:val="274"/>
          <w:jc w:val="center"/>
        </w:trPr>
        <w:tc>
          <w:tcPr>
            <w:tcW w:w="2141" w:type="dxa"/>
            <w:vAlign w:val="bottom"/>
          </w:tcPr>
          <w:p w14:paraId="44EA82EA" w14:textId="035BEC3B" w:rsidR="00540B84" w:rsidRDefault="00540B84" w:rsidP="001E7BFA">
            <w:pPr>
              <w:spacing w:before="20" w:after="20"/>
              <w:rPr>
                <w:rFonts w:ascii="Arial Narrow" w:hAnsi="Arial Narrow" w:cstheme="minorHAnsi"/>
                <w:sz w:val="20"/>
                <w:szCs w:val="20"/>
              </w:rPr>
            </w:pPr>
            <w:r>
              <w:rPr>
                <w:rFonts w:ascii="Arial Narrow" w:hAnsi="Arial Narrow" w:cstheme="minorHAnsi"/>
                <w:sz w:val="20"/>
                <w:szCs w:val="20"/>
              </w:rPr>
              <w:t>Carolina Water Service, Inc.</w:t>
            </w:r>
          </w:p>
        </w:tc>
        <w:tc>
          <w:tcPr>
            <w:tcW w:w="1049" w:type="dxa"/>
            <w:vAlign w:val="bottom"/>
          </w:tcPr>
          <w:p w14:paraId="73AD1D5A" w14:textId="345ACD56" w:rsidR="00540B84" w:rsidRDefault="00540B84" w:rsidP="001E7BFA">
            <w:pPr>
              <w:spacing w:before="20" w:after="20"/>
              <w:jc w:val="center"/>
              <w:rPr>
                <w:rFonts w:ascii="Arial Narrow" w:hAnsi="Arial Narrow" w:cstheme="minorHAnsi"/>
                <w:sz w:val="20"/>
                <w:szCs w:val="20"/>
              </w:rPr>
            </w:pPr>
            <w:r>
              <w:rPr>
                <w:rFonts w:ascii="Arial Narrow" w:hAnsi="Arial Narrow" w:cstheme="minorHAnsi"/>
                <w:sz w:val="20"/>
                <w:szCs w:val="20"/>
              </w:rPr>
              <w:t>09/18</w:t>
            </w:r>
          </w:p>
        </w:tc>
        <w:tc>
          <w:tcPr>
            <w:tcW w:w="2825" w:type="dxa"/>
            <w:vAlign w:val="bottom"/>
          </w:tcPr>
          <w:p w14:paraId="534BF770" w14:textId="74E3F41B" w:rsidR="00540B84" w:rsidRDefault="00540B84" w:rsidP="001E7BFA">
            <w:pPr>
              <w:spacing w:before="20" w:after="20"/>
              <w:rPr>
                <w:rFonts w:ascii="Arial Narrow" w:hAnsi="Arial Narrow" w:cstheme="minorHAnsi"/>
                <w:sz w:val="20"/>
                <w:szCs w:val="20"/>
              </w:rPr>
            </w:pPr>
            <w:r>
              <w:rPr>
                <w:rFonts w:ascii="Arial Narrow" w:hAnsi="Arial Narrow" w:cstheme="minorHAnsi"/>
                <w:sz w:val="20"/>
                <w:szCs w:val="20"/>
              </w:rPr>
              <w:t>Carolina Water Service, Inc.</w:t>
            </w:r>
          </w:p>
        </w:tc>
        <w:tc>
          <w:tcPr>
            <w:tcW w:w="2250" w:type="dxa"/>
            <w:vAlign w:val="bottom"/>
          </w:tcPr>
          <w:p w14:paraId="24605357" w14:textId="590E4BE6" w:rsidR="00540B84" w:rsidRDefault="00540B84" w:rsidP="001E7BFA">
            <w:pPr>
              <w:spacing w:before="20" w:after="20"/>
              <w:rPr>
                <w:rFonts w:ascii="Arial Narrow" w:hAnsi="Arial Narrow" w:cstheme="minorHAnsi"/>
                <w:sz w:val="20"/>
                <w:szCs w:val="20"/>
              </w:rPr>
            </w:pPr>
            <w:r>
              <w:rPr>
                <w:rFonts w:ascii="Arial Narrow" w:hAnsi="Arial Narrow" w:cstheme="minorHAnsi"/>
                <w:sz w:val="20"/>
                <w:szCs w:val="20"/>
              </w:rPr>
              <w:t>Docket No. W-354 Sub 360</w:t>
            </w:r>
          </w:p>
        </w:tc>
        <w:tc>
          <w:tcPr>
            <w:tcW w:w="2070" w:type="dxa"/>
            <w:vAlign w:val="bottom"/>
          </w:tcPr>
          <w:p w14:paraId="1E69E74E" w14:textId="2DCADD1B" w:rsidR="00540B84" w:rsidRDefault="00540B84"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540B84" w:rsidRPr="00AC6309" w14:paraId="4FDAD3E5" w14:textId="77777777" w:rsidTr="00FD1718">
        <w:trPr>
          <w:trHeight w:val="259"/>
          <w:jc w:val="center"/>
        </w:trPr>
        <w:tc>
          <w:tcPr>
            <w:tcW w:w="2141" w:type="dxa"/>
            <w:vAlign w:val="bottom"/>
          </w:tcPr>
          <w:p w14:paraId="69B59C14" w14:textId="02947E3C" w:rsidR="00540B84" w:rsidRPr="00F3208D" w:rsidRDefault="00540B84" w:rsidP="001E7BFA">
            <w:pPr>
              <w:spacing w:before="20" w:after="20"/>
              <w:rPr>
                <w:rFonts w:ascii="Arial Narrow" w:hAnsi="Arial Narrow" w:cstheme="minorHAnsi"/>
                <w:sz w:val="20"/>
                <w:szCs w:val="20"/>
              </w:rPr>
            </w:pPr>
            <w:r>
              <w:rPr>
                <w:rFonts w:ascii="Arial Narrow" w:hAnsi="Arial Narrow" w:cstheme="minorHAnsi"/>
                <w:sz w:val="20"/>
                <w:szCs w:val="20"/>
              </w:rPr>
              <w:t>Aqua North Carolina, Inc.</w:t>
            </w:r>
          </w:p>
        </w:tc>
        <w:tc>
          <w:tcPr>
            <w:tcW w:w="1049" w:type="dxa"/>
            <w:vAlign w:val="bottom"/>
          </w:tcPr>
          <w:p w14:paraId="77319330" w14:textId="0045E76A" w:rsidR="00540B84" w:rsidRPr="00F3208D" w:rsidRDefault="00540B84" w:rsidP="001E7BFA">
            <w:pPr>
              <w:spacing w:before="20" w:after="20"/>
              <w:jc w:val="center"/>
              <w:rPr>
                <w:rFonts w:ascii="Arial Narrow" w:hAnsi="Arial Narrow" w:cstheme="minorHAnsi"/>
                <w:sz w:val="20"/>
                <w:szCs w:val="20"/>
              </w:rPr>
            </w:pPr>
            <w:r>
              <w:rPr>
                <w:rFonts w:ascii="Arial Narrow" w:hAnsi="Arial Narrow" w:cstheme="minorHAnsi"/>
                <w:sz w:val="20"/>
                <w:szCs w:val="20"/>
              </w:rPr>
              <w:t>07/18</w:t>
            </w:r>
          </w:p>
        </w:tc>
        <w:tc>
          <w:tcPr>
            <w:tcW w:w="2825" w:type="dxa"/>
            <w:vAlign w:val="bottom"/>
          </w:tcPr>
          <w:p w14:paraId="43E8962B" w14:textId="2D81817B" w:rsidR="00540B84" w:rsidRPr="00F3208D" w:rsidRDefault="00540B84" w:rsidP="001E7BFA">
            <w:pPr>
              <w:spacing w:before="20" w:after="20"/>
              <w:rPr>
                <w:rFonts w:ascii="Arial Narrow" w:hAnsi="Arial Narrow" w:cstheme="minorHAnsi"/>
                <w:sz w:val="20"/>
                <w:szCs w:val="20"/>
              </w:rPr>
            </w:pPr>
            <w:r>
              <w:rPr>
                <w:rFonts w:ascii="Arial Narrow" w:hAnsi="Arial Narrow" w:cstheme="minorHAnsi"/>
                <w:sz w:val="20"/>
                <w:szCs w:val="20"/>
              </w:rPr>
              <w:t>Aqua North Carolina, Inc.</w:t>
            </w:r>
          </w:p>
        </w:tc>
        <w:tc>
          <w:tcPr>
            <w:tcW w:w="2250" w:type="dxa"/>
            <w:vAlign w:val="bottom"/>
          </w:tcPr>
          <w:p w14:paraId="4CD5C1AB" w14:textId="0EDCC64C" w:rsidR="00540B84" w:rsidRPr="00F3208D" w:rsidRDefault="00540B84" w:rsidP="001E7BFA">
            <w:pPr>
              <w:spacing w:before="20" w:after="20"/>
              <w:rPr>
                <w:rFonts w:ascii="Arial Narrow" w:hAnsi="Arial Narrow" w:cstheme="minorHAnsi"/>
                <w:sz w:val="20"/>
                <w:szCs w:val="20"/>
              </w:rPr>
            </w:pPr>
            <w:r>
              <w:rPr>
                <w:rFonts w:ascii="Arial Narrow" w:hAnsi="Arial Narrow" w:cstheme="minorHAnsi"/>
                <w:sz w:val="20"/>
                <w:szCs w:val="20"/>
              </w:rPr>
              <w:t>Docket No. W-218 Sub 497</w:t>
            </w:r>
          </w:p>
        </w:tc>
        <w:tc>
          <w:tcPr>
            <w:tcW w:w="2070" w:type="dxa"/>
            <w:vAlign w:val="bottom"/>
          </w:tcPr>
          <w:p w14:paraId="3F7392FD" w14:textId="29537AA3" w:rsidR="00540B84" w:rsidRPr="00F3208D" w:rsidRDefault="00540B84"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14D32475" w14:textId="77777777" w:rsidTr="00FD1718">
        <w:trPr>
          <w:trHeight w:val="274"/>
          <w:jc w:val="center"/>
        </w:trPr>
        <w:tc>
          <w:tcPr>
            <w:tcW w:w="10335" w:type="dxa"/>
            <w:gridSpan w:val="5"/>
            <w:shd w:val="clear" w:color="auto" w:fill="D9D9D9" w:themeFill="background1" w:themeFillShade="D9"/>
            <w:vAlign w:val="bottom"/>
          </w:tcPr>
          <w:p w14:paraId="0C4D8425" w14:textId="77777777" w:rsidR="001E7BFA" w:rsidRPr="00F3208D" w:rsidRDefault="001E7BFA" w:rsidP="001E7BFA">
            <w:pPr>
              <w:keepNext/>
              <w:spacing w:before="20" w:after="20"/>
              <w:rPr>
                <w:rFonts w:ascii="Arial Narrow" w:hAnsi="Arial Narrow" w:cstheme="minorHAnsi"/>
                <w:b/>
                <w:sz w:val="20"/>
                <w:szCs w:val="20"/>
              </w:rPr>
            </w:pPr>
            <w:r w:rsidRPr="00F3208D">
              <w:rPr>
                <w:rFonts w:ascii="Arial Narrow" w:hAnsi="Arial Narrow" w:cstheme="minorHAnsi"/>
                <w:b/>
                <w:sz w:val="20"/>
                <w:szCs w:val="20"/>
              </w:rPr>
              <w:t>Public Utilities Commission of Ohio</w:t>
            </w:r>
          </w:p>
        </w:tc>
      </w:tr>
      <w:tr w:rsidR="001E7BFA" w:rsidRPr="00AC6309" w14:paraId="79B50FD1" w14:textId="77777777" w:rsidTr="00FD1718">
        <w:trPr>
          <w:trHeight w:val="503"/>
          <w:jc w:val="center"/>
        </w:trPr>
        <w:tc>
          <w:tcPr>
            <w:tcW w:w="2141" w:type="dxa"/>
            <w:shd w:val="clear" w:color="auto" w:fill="auto"/>
            <w:vAlign w:val="bottom"/>
          </w:tcPr>
          <w:p w14:paraId="032A6C0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Aqua Ohio, Inc.</w:t>
            </w:r>
          </w:p>
        </w:tc>
        <w:tc>
          <w:tcPr>
            <w:tcW w:w="1049" w:type="dxa"/>
            <w:shd w:val="clear" w:color="auto" w:fill="auto"/>
            <w:vAlign w:val="bottom"/>
          </w:tcPr>
          <w:p w14:paraId="0D7E317E"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5/16</w:t>
            </w:r>
          </w:p>
        </w:tc>
        <w:tc>
          <w:tcPr>
            <w:tcW w:w="2825" w:type="dxa"/>
            <w:shd w:val="clear" w:color="auto" w:fill="auto"/>
            <w:vAlign w:val="bottom"/>
          </w:tcPr>
          <w:p w14:paraId="3D3D5B0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Aqua Ohio, Inc.</w:t>
            </w:r>
          </w:p>
        </w:tc>
        <w:tc>
          <w:tcPr>
            <w:tcW w:w="2250" w:type="dxa"/>
            <w:shd w:val="clear" w:color="auto" w:fill="auto"/>
            <w:vAlign w:val="bottom"/>
          </w:tcPr>
          <w:p w14:paraId="75DB2656"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16-0907-WW-AIR</w:t>
            </w:r>
          </w:p>
        </w:tc>
        <w:tc>
          <w:tcPr>
            <w:tcW w:w="2070" w:type="dxa"/>
            <w:shd w:val="clear" w:color="auto" w:fill="auto"/>
            <w:vAlign w:val="bottom"/>
          </w:tcPr>
          <w:p w14:paraId="735AB3EA"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7762F976" w14:textId="77777777" w:rsidTr="00FD1718">
        <w:trPr>
          <w:trHeight w:val="274"/>
          <w:jc w:val="center"/>
        </w:trPr>
        <w:tc>
          <w:tcPr>
            <w:tcW w:w="10335" w:type="dxa"/>
            <w:gridSpan w:val="5"/>
            <w:shd w:val="clear" w:color="auto" w:fill="D9D9D9" w:themeFill="background1" w:themeFillShade="D9"/>
            <w:vAlign w:val="bottom"/>
          </w:tcPr>
          <w:p w14:paraId="322CAFDA" w14:textId="77777777" w:rsidR="001E7BFA" w:rsidRPr="00F3208D" w:rsidRDefault="001E7BFA" w:rsidP="001E7BFA">
            <w:pPr>
              <w:keepNext/>
              <w:spacing w:before="20" w:after="20"/>
              <w:rPr>
                <w:rFonts w:ascii="Arial Narrow" w:hAnsi="Arial Narrow" w:cstheme="minorHAnsi"/>
                <w:b/>
                <w:sz w:val="20"/>
                <w:szCs w:val="20"/>
              </w:rPr>
            </w:pPr>
            <w:r w:rsidRPr="00F3208D">
              <w:rPr>
                <w:rFonts w:ascii="Arial Narrow" w:hAnsi="Arial Narrow" w:cstheme="minorHAnsi"/>
                <w:b/>
                <w:sz w:val="20"/>
                <w:szCs w:val="20"/>
              </w:rPr>
              <w:t>Pennsylvania Public Utility Commission</w:t>
            </w:r>
          </w:p>
        </w:tc>
      </w:tr>
      <w:tr w:rsidR="001E7BFA" w:rsidRPr="00AC6309" w14:paraId="0380DE3B" w14:textId="77777777" w:rsidTr="00FD1718">
        <w:trPr>
          <w:trHeight w:val="259"/>
          <w:jc w:val="center"/>
        </w:trPr>
        <w:tc>
          <w:tcPr>
            <w:tcW w:w="2141" w:type="dxa"/>
            <w:vAlign w:val="bottom"/>
          </w:tcPr>
          <w:p w14:paraId="78EBBAED" w14:textId="1555729A"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SUEZ Water Pennsylvania Inc.</w:t>
            </w:r>
          </w:p>
        </w:tc>
        <w:tc>
          <w:tcPr>
            <w:tcW w:w="1049" w:type="dxa"/>
            <w:vAlign w:val="bottom"/>
          </w:tcPr>
          <w:p w14:paraId="066F072B" w14:textId="553A82CE" w:rsidR="001E7BFA"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04/18</w:t>
            </w:r>
          </w:p>
        </w:tc>
        <w:tc>
          <w:tcPr>
            <w:tcW w:w="2825" w:type="dxa"/>
            <w:vAlign w:val="bottom"/>
          </w:tcPr>
          <w:p w14:paraId="6C72B3D7" w14:textId="0C41D1BE"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SUEZ Water Pennsylvania Inc.</w:t>
            </w:r>
          </w:p>
        </w:tc>
        <w:tc>
          <w:tcPr>
            <w:tcW w:w="2250" w:type="dxa"/>
            <w:vAlign w:val="bottom"/>
          </w:tcPr>
          <w:p w14:paraId="076A3A4B" w14:textId="77F2C7BB"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Docket No. R-2018-000834</w:t>
            </w:r>
          </w:p>
        </w:tc>
        <w:tc>
          <w:tcPr>
            <w:tcW w:w="2070" w:type="dxa"/>
            <w:vAlign w:val="bottom"/>
          </w:tcPr>
          <w:p w14:paraId="114AF40A" w14:textId="0FCAE32D"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64E420D8" w14:textId="77777777" w:rsidTr="00FD1718">
        <w:trPr>
          <w:trHeight w:val="274"/>
          <w:jc w:val="center"/>
        </w:trPr>
        <w:tc>
          <w:tcPr>
            <w:tcW w:w="2141" w:type="dxa"/>
            <w:vAlign w:val="bottom"/>
          </w:tcPr>
          <w:p w14:paraId="2B0917B5"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Columbia Water Company</w:t>
            </w:r>
          </w:p>
        </w:tc>
        <w:tc>
          <w:tcPr>
            <w:tcW w:w="1049" w:type="dxa"/>
            <w:vAlign w:val="bottom"/>
          </w:tcPr>
          <w:p w14:paraId="16DF4DB4"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09</w:t>
            </w:r>
            <w:r w:rsidRPr="00F3208D">
              <w:rPr>
                <w:rFonts w:ascii="Arial Narrow" w:hAnsi="Arial Narrow" w:cstheme="minorHAnsi"/>
                <w:sz w:val="20"/>
                <w:szCs w:val="20"/>
              </w:rPr>
              <w:t>/1</w:t>
            </w:r>
            <w:r>
              <w:rPr>
                <w:rFonts w:ascii="Arial Narrow" w:hAnsi="Arial Narrow" w:cstheme="minorHAnsi"/>
                <w:sz w:val="20"/>
                <w:szCs w:val="20"/>
              </w:rPr>
              <w:t>7</w:t>
            </w:r>
          </w:p>
        </w:tc>
        <w:tc>
          <w:tcPr>
            <w:tcW w:w="2825" w:type="dxa"/>
            <w:vAlign w:val="bottom"/>
          </w:tcPr>
          <w:p w14:paraId="0FB4A8CB"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Columbia Water Company</w:t>
            </w:r>
          </w:p>
        </w:tc>
        <w:tc>
          <w:tcPr>
            <w:tcW w:w="2250" w:type="dxa"/>
            <w:vAlign w:val="bottom"/>
          </w:tcPr>
          <w:p w14:paraId="20BC224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R-201</w:t>
            </w:r>
            <w:r>
              <w:rPr>
                <w:rFonts w:ascii="Arial Narrow" w:hAnsi="Arial Narrow" w:cstheme="minorHAnsi"/>
                <w:sz w:val="20"/>
                <w:szCs w:val="20"/>
              </w:rPr>
              <w:t>7</w:t>
            </w:r>
            <w:r w:rsidRPr="00F3208D">
              <w:rPr>
                <w:rFonts w:ascii="Arial Narrow" w:hAnsi="Arial Narrow" w:cstheme="minorHAnsi"/>
                <w:sz w:val="20"/>
                <w:szCs w:val="20"/>
              </w:rPr>
              <w:t>-2</w:t>
            </w:r>
            <w:r>
              <w:rPr>
                <w:rFonts w:ascii="Arial Narrow" w:hAnsi="Arial Narrow" w:cstheme="minorHAnsi"/>
                <w:sz w:val="20"/>
                <w:szCs w:val="20"/>
              </w:rPr>
              <w:t>598203</w:t>
            </w:r>
          </w:p>
        </w:tc>
        <w:tc>
          <w:tcPr>
            <w:tcW w:w="2070" w:type="dxa"/>
            <w:vAlign w:val="bottom"/>
          </w:tcPr>
          <w:p w14:paraId="6C7BCFE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4FBB8B85" w14:textId="77777777" w:rsidTr="00FD1718">
        <w:trPr>
          <w:trHeight w:val="274"/>
          <w:jc w:val="center"/>
        </w:trPr>
        <w:tc>
          <w:tcPr>
            <w:tcW w:w="2141" w:type="dxa"/>
            <w:vAlign w:val="bottom"/>
          </w:tcPr>
          <w:p w14:paraId="1ECCDA68" w14:textId="77777777" w:rsidR="001E7BFA" w:rsidRPr="00F3208D" w:rsidRDefault="001E7BFA" w:rsidP="001E7BFA">
            <w:pPr>
              <w:keepNext/>
              <w:spacing w:before="20" w:after="20"/>
              <w:rPr>
                <w:rFonts w:ascii="Arial Narrow" w:hAnsi="Arial Narrow" w:cstheme="minorHAnsi"/>
                <w:sz w:val="20"/>
                <w:szCs w:val="20"/>
              </w:rPr>
            </w:pPr>
            <w:r>
              <w:rPr>
                <w:rFonts w:ascii="Arial Narrow" w:hAnsi="Arial Narrow" w:cstheme="minorHAnsi"/>
                <w:sz w:val="20"/>
                <w:szCs w:val="20"/>
              </w:rPr>
              <w:t>Veolia Energy Philadelphia, Inc.</w:t>
            </w:r>
          </w:p>
        </w:tc>
        <w:tc>
          <w:tcPr>
            <w:tcW w:w="1049" w:type="dxa"/>
            <w:vAlign w:val="bottom"/>
          </w:tcPr>
          <w:p w14:paraId="33E39CC0" w14:textId="77777777" w:rsidR="001E7BFA"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06/17</w:t>
            </w:r>
          </w:p>
        </w:tc>
        <w:tc>
          <w:tcPr>
            <w:tcW w:w="2825" w:type="dxa"/>
            <w:vAlign w:val="bottom"/>
          </w:tcPr>
          <w:p w14:paraId="3E014AD7"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Veolia Energy Philadelphia, Inc.</w:t>
            </w:r>
          </w:p>
        </w:tc>
        <w:tc>
          <w:tcPr>
            <w:tcW w:w="2250" w:type="dxa"/>
            <w:vAlign w:val="bottom"/>
          </w:tcPr>
          <w:p w14:paraId="52A0F2D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R-201</w:t>
            </w:r>
            <w:r>
              <w:rPr>
                <w:rFonts w:ascii="Arial Narrow" w:hAnsi="Arial Narrow" w:cstheme="minorHAnsi"/>
                <w:sz w:val="20"/>
                <w:szCs w:val="20"/>
              </w:rPr>
              <w:t>7</w:t>
            </w:r>
            <w:r w:rsidRPr="00F3208D">
              <w:rPr>
                <w:rFonts w:ascii="Arial Narrow" w:hAnsi="Arial Narrow" w:cstheme="minorHAnsi"/>
                <w:sz w:val="20"/>
                <w:szCs w:val="20"/>
              </w:rPr>
              <w:t>-2</w:t>
            </w:r>
            <w:r>
              <w:rPr>
                <w:rFonts w:ascii="Arial Narrow" w:hAnsi="Arial Narrow" w:cstheme="minorHAnsi"/>
                <w:sz w:val="20"/>
                <w:szCs w:val="20"/>
              </w:rPr>
              <w:t>593142</w:t>
            </w:r>
          </w:p>
        </w:tc>
        <w:tc>
          <w:tcPr>
            <w:tcW w:w="2070" w:type="dxa"/>
            <w:vAlign w:val="bottom"/>
          </w:tcPr>
          <w:p w14:paraId="03903E88"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62C8E8A6" w14:textId="77777777" w:rsidTr="00FD1718">
        <w:trPr>
          <w:trHeight w:val="259"/>
          <w:jc w:val="center"/>
        </w:trPr>
        <w:tc>
          <w:tcPr>
            <w:tcW w:w="2141" w:type="dxa"/>
            <w:vAlign w:val="bottom"/>
          </w:tcPr>
          <w:p w14:paraId="68E45C48" w14:textId="77777777" w:rsidR="001E7BFA" w:rsidRPr="00F3208D" w:rsidRDefault="001E7BFA" w:rsidP="001E7BFA">
            <w:pPr>
              <w:keepNext/>
              <w:spacing w:before="20" w:after="20"/>
              <w:rPr>
                <w:rFonts w:ascii="Arial Narrow" w:hAnsi="Arial Narrow" w:cstheme="minorHAnsi"/>
                <w:sz w:val="20"/>
                <w:szCs w:val="20"/>
              </w:rPr>
            </w:pPr>
            <w:r w:rsidRPr="00F3208D">
              <w:rPr>
                <w:rFonts w:ascii="Arial Narrow" w:hAnsi="Arial Narrow" w:cstheme="minorHAnsi"/>
                <w:sz w:val="20"/>
                <w:szCs w:val="20"/>
              </w:rPr>
              <w:t>Emporium Water Company</w:t>
            </w:r>
          </w:p>
        </w:tc>
        <w:tc>
          <w:tcPr>
            <w:tcW w:w="1049" w:type="dxa"/>
            <w:vAlign w:val="bottom"/>
          </w:tcPr>
          <w:p w14:paraId="1BB536BC"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7/14</w:t>
            </w:r>
          </w:p>
        </w:tc>
        <w:tc>
          <w:tcPr>
            <w:tcW w:w="2825" w:type="dxa"/>
            <w:vAlign w:val="bottom"/>
          </w:tcPr>
          <w:p w14:paraId="12019873"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Emporium Water Company</w:t>
            </w:r>
          </w:p>
        </w:tc>
        <w:tc>
          <w:tcPr>
            <w:tcW w:w="2250" w:type="dxa"/>
            <w:vAlign w:val="bottom"/>
          </w:tcPr>
          <w:p w14:paraId="6242388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R-2014-2402324</w:t>
            </w:r>
          </w:p>
        </w:tc>
        <w:tc>
          <w:tcPr>
            <w:tcW w:w="2070" w:type="dxa"/>
            <w:vAlign w:val="bottom"/>
          </w:tcPr>
          <w:p w14:paraId="2180BC6A"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0B30A79B" w14:textId="77777777" w:rsidTr="00FD1718">
        <w:trPr>
          <w:trHeight w:val="274"/>
          <w:jc w:val="center"/>
        </w:trPr>
        <w:tc>
          <w:tcPr>
            <w:tcW w:w="2141" w:type="dxa"/>
            <w:vAlign w:val="bottom"/>
          </w:tcPr>
          <w:p w14:paraId="509226B5"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Columbia Water Company</w:t>
            </w:r>
          </w:p>
        </w:tc>
        <w:tc>
          <w:tcPr>
            <w:tcW w:w="1049" w:type="dxa"/>
            <w:vAlign w:val="bottom"/>
          </w:tcPr>
          <w:p w14:paraId="11E3D801"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7/13</w:t>
            </w:r>
          </w:p>
        </w:tc>
        <w:tc>
          <w:tcPr>
            <w:tcW w:w="2825" w:type="dxa"/>
            <w:vAlign w:val="bottom"/>
          </w:tcPr>
          <w:p w14:paraId="6CE26791"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Columbia Water Company</w:t>
            </w:r>
          </w:p>
        </w:tc>
        <w:tc>
          <w:tcPr>
            <w:tcW w:w="2250" w:type="dxa"/>
            <w:vAlign w:val="bottom"/>
          </w:tcPr>
          <w:p w14:paraId="44AC1146"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R-2013-2360798</w:t>
            </w:r>
          </w:p>
        </w:tc>
        <w:tc>
          <w:tcPr>
            <w:tcW w:w="2070" w:type="dxa"/>
            <w:vAlign w:val="bottom"/>
          </w:tcPr>
          <w:p w14:paraId="181F7DFA"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1CB85446" w14:textId="77777777" w:rsidTr="00FD1718">
        <w:trPr>
          <w:trHeight w:val="503"/>
          <w:jc w:val="center"/>
        </w:trPr>
        <w:tc>
          <w:tcPr>
            <w:tcW w:w="2141" w:type="dxa"/>
            <w:vAlign w:val="bottom"/>
          </w:tcPr>
          <w:p w14:paraId="649A993B"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Penn Estates Utilities, Inc.</w:t>
            </w:r>
          </w:p>
        </w:tc>
        <w:tc>
          <w:tcPr>
            <w:tcW w:w="1049" w:type="dxa"/>
            <w:vAlign w:val="bottom"/>
          </w:tcPr>
          <w:p w14:paraId="19F567EB"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12/11</w:t>
            </w:r>
          </w:p>
        </w:tc>
        <w:tc>
          <w:tcPr>
            <w:tcW w:w="2825" w:type="dxa"/>
            <w:vAlign w:val="bottom"/>
          </w:tcPr>
          <w:p w14:paraId="76A06308"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Penn Estates, Utilities, Inc.</w:t>
            </w:r>
          </w:p>
        </w:tc>
        <w:tc>
          <w:tcPr>
            <w:tcW w:w="2250" w:type="dxa"/>
            <w:vAlign w:val="bottom"/>
          </w:tcPr>
          <w:p w14:paraId="020420B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R-2011-2255159</w:t>
            </w:r>
          </w:p>
        </w:tc>
        <w:tc>
          <w:tcPr>
            <w:tcW w:w="2070" w:type="dxa"/>
            <w:vAlign w:val="bottom"/>
          </w:tcPr>
          <w:p w14:paraId="7368F628"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Capital Structure / Long-Term Debt Cost Rate</w:t>
            </w:r>
          </w:p>
        </w:tc>
      </w:tr>
      <w:tr w:rsidR="001E7BFA" w:rsidRPr="00AC6309" w14:paraId="31B0C302" w14:textId="77777777" w:rsidTr="00FD1718">
        <w:trPr>
          <w:trHeight w:val="259"/>
          <w:jc w:val="center"/>
        </w:trPr>
        <w:tc>
          <w:tcPr>
            <w:tcW w:w="10335" w:type="dxa"/>
            <w:gridSpan w:val="5"/>
            <w:shd w:val="clear" w:color="auto" w:fill="D9D9D9" w:themeFill="background1" w:themeFillShade="D9"/>
            <w:vAlign w:val="bottom"/>
          </w:tcPr>
          <w:p w14:paraId="6685AFA9"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South Carolina Public Service Commission</w:t>
            </w:r>
          </w:p>
        </w:tc>
      </w:tr>
      <w:tr w:rsidR="001E7BFA" w:rsidRPr="00AC6309" w14:paraId="7F1776A3" w14:textId="77777777" w:rsidTr="00FD1718">
        <w:trPr>
          <w:trHeight w:val="274"/>
          <w:jc w:val="center"/>
        </w:trPr>
        <w:tc>
          <w:tcPr>
            <w:tcW w:w="2141" w:type="dxa"/>
            <w:vAlign w:val="bottom"/>
          </w:tcPr>
          <w:p w14:paraId="265E1956" w14:textId="40C39410"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Carolina Water Service, Inc.</w:t>
            </w:r>
          </w:p>
        </w:tc>
        <w:tc>
          <w:tcPr>
            <w:tcW w:w="1049" w:type="dxa"/>
            <w:vAlign w:val="bottom"/>
          </w:tcPr>
          <w:p w14:paraId="02FEAFB1" w14:textId="6C304831" w:rsidR="001E7BFA"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02</w:t>
            </w:r>
            <w:r w:rsidRPr="00F3208D">
              <w:rPr>
                <w:rFonts w:ascii="Arial Narrow" w:hAnsi="Arial Narrow" w:cstheme="minorHAnsi"/>
                <w:sz w:val="20"/>
                <w:szCs w:val="20"/>
              </w:rPr>
              <w:t>/1</w:t>
            </w:r>
            <w:r>
              <w:rPr>
                <w:rFonts w:ascii="Arial Narrow" w:hAnsi="Arial Narrow" w:cstheme="minorHAnsi"/>
                <w:sz w:val="20"/>
                <w:szCs w:val="20"/>
              </w:rPr>
              <w:t>8</w:t>
            </w:r>
          </w:p>
        </w:tc>
        <w:tc>
          <w:tcPr>
            <w:tcW w:w="2825" w:type="dxa"/>
            <w:vAlign w:val="bottom"/>
          </w:tcPr>
          <w:p w14:paraId="7FA6DCA8" w14:textId="5DCE72DC"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Carolina Water Service, Inc.</w:t>
            </w:r>
          </w:p>
        </w:tc>
        <w:tc>
          <w:tcPr>
            <w:tcW w:w="2250" w:type="dxa"/>
            <w:vAlign w:val="bottom"/>
          </w:tcPr>
          <w:p w14:paraId="3F6C248D" w14:textId="46F0BBC2"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w:t>
            </w:r>
            <w:r>
              <w:rPr>
                <w:rFonts w:ascii="Arial Narrow" w:hAnsi="Arial Narrow" w:cstheme="minorHAnsi"/>
                <w:sz w:val="20"/>
                <w:szCs w:val="20"/>
              </w:rPr>
              <w:t>7</w:t>
            </w:r>
            <w:r w:rsidRPr="00F3208D">
              <w:rPr>
                <w:rFonts w:ascii="Arial Narrow" w:hAnsi="Arial Narrow" w:cstheme="minorHAnsi"/>
                <w:sz w:val="20"/>
                <w:szCs w:val="20"/>
              </w:rPr>
              <w:t>-</w:t>
            </w:r>
            <w:r>
              <w:rPr>
                <w:rFonts w:ascii="Arial Narrow" w:hAnsi="Arial Narrow" w:cstheme="minorHAnsi"/>
                <w:sz w:val="20"/>
                <w:szCs w:val="20"/>
              </w:rPr>
              <w:t>292</w:t>
            </w:r>
            <w:r w:rsidRPr="00F3208D">
              <w:rPr>
                <w:rFonts w:ascii="Arial Narrow" w:hAnsi="Arial Narrow" w:cstheme="minorHAnsi"/>
                <w:sz w:val="20"/>
                <w:szCs w:val="20"/>
              </w:rPr>
              <w:t>-WS</w:t>
            </w:r>
          </w:p>
        </w:tc>
        <w:tc>
          <w:tcPr>
            <w:tcW w:w="2070" w:type="dxa"/>
            <w:vAlign w:val="bottom"/>
          </w:tcPr>
          <w:p w14:paraId="32C30805" w14:textId="6BEA81E6"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1B7253D3" w14:textId="77777777" w:rsidTr="00FD1718">
        <w:trPr>
          <w:trHeight w:val="274"/>
          <w:jc w:val="center"/>
        </w:trPr>
        <w:tc>
          <w:tcPr>
            <w:tcW w:w="2141" w:type="dxa"/>
            <w:vAlign w:val="bottom"/>
          </w:tcPr>
          <w:p w14:paraId="6535EAA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Carolina Water Service, Inc.</w:t>
            </w:r>
          </w:p>
        </w:tc>
        <w:tc>
          <w:tcPr>
            <w:tcW w:w="1049" w:type="dxa"/>
            <w:vAlign w:val="bottom"/>
          </w:tcPr>
          <w:p w14:paraId="607915F0"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6/15</w:t>
            </w:r>
          </w:p>
        </w:tc>
        <w:tc>
          <w:tcPr>
            <w:tcW w:w="2825" w:type="dxa"/>
            <w:vAlign w:val="bottom"/>
          </w:tcPr>
          <w:p w14:paraId="204B744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Carolina Water Service, Inc.</w:t>
            </w:r>
          </w:p>
        </w:tc>
        <w:tc>
          <w:tcPr>
            <w:tcW w:w="2250" w:type="dxa"/>
            <w:vAlign w:val="bottom"/>
          </w:tcPr>
          <w:p w14:paraId="09B8845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2015-199-WS</w:t>
            </w:r>
          </w:p>
        </w:tc>
        <w:tc>
          <w:tcPr>
            <w:tcW w:w="2070" w:type="dxa"/>
            <w:vAlign w:val="bottom"/>
          </w:tcPr>
          <w:p w14:paraId="06B9A818"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5B3E8A3F" w14:textId="77777777" w:rsidTr="00FD1718">
        <w:trPr>
          <w:trHeight w:val="259"/>
          <w:jc w:val="center"/>
        </w:trPr>
        <w:tc>
          <w:tcPr>
            <w:tcW w:w="2141" w:type="dxa"/>
            <w:vAlign w:val="bottom"/>
          </w:tcPr>
          <w:p w14:paraId="0C06747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Carolina Water Service, Inc.</w:t>
            </w:r>
          </w:p>
        </w:tc>
        <w:tc>
          <w:tcPr>
            <w:tcW w:w="1049" w:type="dxa"/>
            <w:vAlign w:val="bottom"/>
          </w:tcPr>
          <w:p w14:paraId="6EAF80AD"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11/13</w:t>
            </w:r>
          </w:p>
        </w:tc>
        <w:tc>
          <w:tcPr>
            <w:tcW w:w="2825" w:type="dxa"/>
            <w:vAlign w:val="bottom"/>
          </w:tcPr>
          <w:p w14:paraId="5DE85F90"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Carolina Water Service, Inc.</w:t>
            </w:r>
          </w:p>
        </w:tc>
        <w:tc>
          <w:tcPr>
            <w:tcW w:w="2250" w:type="dxa"/>
            <w:vAlign w:val="bottom"/>
          </w:tcPr>
          <w:p w14:paraId="36A6F4C0"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2013-275-WS</w:t>
            </w:r>
          </w:p>
        </w:tc>
        <w:tc>
          <w:tcPr>
            <w:tcW w:w="2070" w:type="dxa"/>
            <w:vAlign w:val="bottom"/>
          </w:tcPr>
          <w:p w14:paraId="3E0830A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497E4C1E" w14:textId="77777777" w:rsidTr="00FD1718">
        <w:trPr>
          <w:trHeight w:val="274"/>
          <w:jc w:val="center"/>
        </w:trPr>
        <w:tc>
          <w:tcPr>
            <w:tcW w:w="2141" w:type="dxa"/>
            <w:vAlign w:val="bottom"/>
          </w:tcPr>
          <w:p w14:paraId="094A731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United Utility Companies, Inc.</w:t>
            </w:r>
          </w:p>
        </w:tc>
        <w:tc>
          <w:tcPr>
            <w:tcW w:w="1049" w:type="dxa"/>
            <w:vAlign w:val="bottom"/>
          </w:tcPr>
          <w:p w14:paraId="082E4241"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9/13</w:t>
            </w:r>
          </w:p>
        </w:tc>
        <w:tc>
          <w:tcPr>
            <w:tcW w:w="2825" w:type="dxa"/>
            <w:vAlign w:val="bottom"/>
          </w:tcPr>
          <w:p w14:paraId="71B0659E"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United Utility Companies, Inc.</w:t>
            </w:r>
          </w:p>
        </w:tc>
        <w:tc>
          <w:tcPr>
            <w:tcW w:w="2250" w:type="dxa"/>
            <w:vAlign w:val="bottom"/>
          </w:tcPr>
          <w:p w14:paraId="17374C79"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2013-199-WS</w:t>
            </w:r>
          </w:p>
        </w:tc>
        <w:tc>
          <w:tcPr>
            <w:tcW w:w="2070" w:type="dxa"/>
            <w:vAlign w:val="bottom"/>
          </w:tcPr>
          <w:p w14:paraId="3F7D6AFD"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0C77BC22" w14:textId="77777777" w:rsidTr="00FD1718">
        <w:trPr>
          <w:trHeight w:val="503"/>
          <w:jc w:val="center"/>
        </w:trPr>
        <w:tc>
          <w:tcPr>
            <w:tcW w:w="2141" w:type="dxa"/>
            <w:vAlign w:val="bottom"/>
          </w:tcPr>
          <w:p w14:paraId="0D3AFD6F"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Utility Services of South Carolina, Inc.</w:t>
            </w:r>
          </w:p>
        </w:tc>
        <w:tc>
          <w:tcPr>
            <w:tcW w:w="1049" w:type="dxa"/>
            <w:vAlign w:val="bottom"/>
          </w:tcPr>
          <w:p w14:paraId="2B193955"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9/13</w:t>
            </w:r>
          </w:p>
        </w:tc>
        <w:tc>
          <w:tcPr>
            <w:tcW w:w="2825" w:type="dxa"/>
            <w:vAlign w:val="bottom"/>
          </w:tcPr>
          <w:p w14:paraId="01B93997"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Utility Services of South Carolina, Inc.</w:t>
            </w:r>
          </w:p>
        </w:tc>
        <w:tc>
          <w:tcPr>
            <w:tcW w:w="2250" w:type="dxa"/>
            <w:vAlign w:val="bottom"/>
          </w:tcPr>
          <w:p w14:paraId="39E302D0"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2013-201-WS</w:t>
            </w:r>
          </w:p>
        </w:tc>
        <w:tc>
          <w:tcPr>
            <w:tcW w:w="2070" w:type="dxa"/>
            <w:vAlign w:val="bottom"/>
          </w:tcPr>
          <w:p w14:paraId="54EFBECE"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w:t>
            </w:r>
          </w:p>
        </w:tc>
      </w:tr>
      <w:tr w:rsidR="001E7BFA" w:rsidRPr="00AC6309" w14:paraId="419391D6" w14:textId="77777777" w:rsidTr="00FD1718">
        <w:trPr>
          <w:trHeight w:val="259"/>
          <w:jc w:val="center"/>
        </w:trPr>
        <w:tc>
          <w:tcPr>
            <w:tcW w:w="2141" w:type="dxa"/>
            <w:vAlign w:val="bottom"/>
          </w:tcPr>
          <w:p w14:paraId="687908EA" w14:textId="77777777" w:rsidR="001E7BFA" w:rsidRPr="00F3208D" w:rsidRDefault="001E7BFA" w:rsidP="001E7BFA">
            <w:pPr>
              <w:spacing w:before="20" w:after="20"/>
              <w:rPr>
                <w:rFonts w:ascii="Arial Narrow" w:hAnsi="Arial Narrow" w:cstheme="minorHAnsi"/>
                <w:sz w:val="20"/>
                <w:szCs w:val="20"/>
              </w:rPr>
            </w:pPr>
            <w:proofErr w:type="spellStart"/>
            <w:r w:rsidRPr="00F3208D">
              <w:rPr>
                <w:rFonts w:ascii="Arial Narrow" w:hAnsi="Arial Narrow" w:cstheme="minorHAnsi"/>
                <w:sz w:val="20"/>
                <w:szCs w:val="20"/>
              </w:rPr>
              <w:t>Tega</w:t>
            </w:r>
            <w:proofErr w:type="spellEnd"/>
            <w:r w:rsidRPr="00F3208D">
              <w:rPr>
                <w:rFonts w:ascii="Arial Narrow" w:hAnsi="Arial Narrow" w:cstheme="minorHAnsi"/>
                <w:sz w:val="20"/>
                <w:szCs w:val="20"/>
              </w:rPr>
              <w:t xml:space="preserve"> Cay Water Services, Inc.</w:t>
            </w:r>
          </w:p>
        </w:tc>
        <w:tc>
          <w:tcPr>
            <w:tcW w:w="1049" w:type="dxa"/>
            <w:vAlign w:val="bottom"/>
          </w:tcPr>
          <w:p w14:paraId="0657EB6D" w14:textId="77777777" w:rsidR="001E7BFA" w:rsidRPr="00F3208D" w:rsidRDefault="001E7BFA" w:rsidP="001E7BFA">
            <w:pPr>
              <w:spacing w:before="20" w:after="20"/>
              <w:jc w:val="center"/>
              <w:rPr>
                <w:rFonts w:ascii="Arial Narrow" w:hAnsi="Arial Narrow" w:cstheme="minorHAnsi"/>
                <w:sz w:val="20"/>
                <w:szCs w:val="20"/>
              </w:rPr>
            </w:pPr>
            <w:r w:rsidRPr="00F3208D">
              <w:rPr>
                <w:rFonts w:ascii="Arial Narrow" w:hAnsi="Arial Narrow" w:cstheme="minorHAnsi"/>
                <w:sz w:val="20"/>
                <w:szCs w:val="20"/>
              </w:rPr>
              <w:t>11/12</w:t>
            </w:r>
          </w:p>
        </w:tc>
        <w:tc>
          <w:tcPr>
            <w:tcW w:w="2825" w:type="dxa"/>
            <w:vAlign w:val="bottom"/>
          </w:tcPr>
          <w:p w14:paraId="75EF7615" w14:textId="77777777" w:rsidR="001E7BFA" w:rsidRPr="00F3208D" w:rsidRDefault="001E7BFA" w:rsidP="001E7BFA">
            <w:pPr>
              <w:spacing w:before="20" w:after="20"/>
              <w:rPr>
                <w:rFonts w:ascii="Arial Narrow" w:hAnsi="Arial Narrow" w:cstheme="minorHAnsi"/>
                <w:sz w:val="20"/>
                <w:szCs w:val="20"/>
              </w:rPr>
            </w:pPr>
            <w:proofErr w:type="spellStart"/>
            <w:r w:rsidRPr="00F3208D">
              <w:rPr>
                <w:rFonts w:ascii="Arial Narrow" w:hAnsi="Arial Narrow" w:cstheme="minorHAnsi"/>
                <w:sz w:val="20"/>
                <w:szCs w:val="20"/>
              </w:rPr>
              <w:t>Tega</w:t>
            </w:r>
            <w:proofErr w:type="spellEnd"/>
            <w:r w:rsidRPr="00F3208D">
              <w:rPr>
                <w:rFonts w:ascii="Arial Narrow" w:hAnsi="Arial Narrow" w:cstheme="minorHAnsi"/>
                <w:sz w:val="20"/>
                <w:szCs w:val="20"/>
              </w:rPr>
              <w:t xml:space="preserve"> Cay Water Services, Inc.</w:t>
            </w:r>
          </w:p>
        </w:tc>
        <w:tc>
          <w:tcPr>
            <w:tcW w:w="2250" w:type="dxa"/>
            <w:vAlign w:val="bottom"/>
          </w:tcPr>
          <w:p w14:paraId="7E91FA63"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Docket No. 2012-177-WS</w:t>
            </w:r>
          </w:p>
        </w:tc>
        <w:tc>
          <w:tcPr>
            <w:tcW w:w="2070" w:type="dxa"/>
            <w:vAlign w:val="bottom"/>
          </w:tcPr>
          <w:p w14:paraId="413FA46C"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Capital Structure</w:t>
            </w:r>
          </w:p>
        </w:tc>
      </w:tr>
      <w:tr w:rsidR="001E7BFA" w:rsidRPr="00AC6309" w14:paraId="409CDC31" w14:textId="77777777" w:rsidTr="00FD1718">
        <w:trPr>
          <w:trHeight w:val="274"/>
          <w:jc w:val="center"/>
        </w:trPr>
        <w:tc>
          <w:tcPr>
            <w:tcW w:w="10335" w:type="dxa"/>
            <w:gridSpan w:val="5"/>
            <w:shd w:val="clear" w:color="auto" w:fill="D9D9D9" w:themeFill="background1" w:themeFillShade="D9"/>
            <w:vAlign w:val="bottom"/>
          </w:tcPr>
          <w:p w14:paraId="554E86F9" w14:textId="77777777" w:rsidR="001E7BFA" w:rsidRPr="00F3208D" w:rsidRDefault="001E7BFA" w:rsidP="001E7BFA">
            <w:pPr>
              <w:spacing w:before="20" w:after="20"/>
              <w:rPr>
                <w:rFonts w:ascii="Arial Narrow" w:hAnsi="Arial Narrow" w:cstheme="minorHAnsi"/>
                <w:b/>
                <w:sz w:val="20"/>
                <w:szCs w:val="20"/>
              </w:rPr>
            </w:pPr>
            <w:r w:rsidRPr="00F3208D">
              <w:rPr>
                <w:rFonts w:ascii="Arial Narrow" w:hAnsi="Arial Narrow" w:cstheme="minorHAnsi"/>
                <w:b/>
                <w:sz w:val="20"/>
                <w:szCs w:val="20"/>
              </w:rPr>
              <w:t>Virginia State Corporation Commission</w:t>
            </w:r>
          </w:p>
        </w:tc>
      </w:tr>
      <w:tr w:rsidR="001E7BFA" w:rsidRPr="00AC6309" w14:paraId="5D574FB3" w14:textId="77777777" w:rsidTr="00FD1718">
        <w:trPr>
          <w:trHeight w:val="274"/>
          <w:jc w:val="center"/>
        </w:trPr>
        <w:tc>
          <w:tcPr>
            <w:tcW w:w="2141" w:type="dxa"/>
            <w:vAlign w:val="bottom"/>
          </w:tcPr>
          <w:p w14:paraId="10D9A3B4" w14:textId="69F24CD9"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WGL Holdings, Inc.</w:t>
            </w:r>
          </w:p>
        </w:tc>
        <w:tc>
          <w:tcPr>
            <w:tcW w:w="1049" w:type="dxa"/>
            <w:vAlign w:val="bottom"/>
          </w:tcPr>
          <w:p w14:paraId="0869E6DE" w14:textId="78DDDD7C" w:rsidR="001E7BFA"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7/18</w:t>
            </w:r>
          </w:p>
        </w:tc>
        <w:tc>
          <w:tcPr>
            <w:tcW w:w="2825" w:type="dxa"/>
            <w:vAlign w:val="bottom"/>
          </w:tcPr>
          <w:p w14:paraId="61CA8825" w14:textId="587F130A"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Washington Gas Light Company</w:t>
            </w:r>
          </w:p>
        </w:tc>
        <w:tc>
          <w:tcPr>
            <w:tcW w:w="2250" w:type="dxa"/>
            <w:vAlign w:val="bottom"/>
          </w:tcPr>
          <w:p w14:paraId="31D5E7CE" w14:textId="5DABED6D"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PUR-2018-00080</w:t>
            </w:r>
          </w:p>
        </w:tc>
        <w:tc>
          <w:tcPr>
            <w:tcW w:w="2070" w:type="dxa"/>
            <w:vAlign w:val="bottom"/>
          </w:tcPr>
          <w:p w14:paraId="762AA70B" w14:textId="0E81718F"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6D7D7364" w14:textId="77777777" w:rsidTr="00FD1718">
        <w:trPr>
          <w:trHeight w:val="259"/>
          <w:jc w:val="center"/>
        </w:trPr>
        <w:tc>
          <w:tcPr>
            <w:tcW w:w="2141" w:type="dxa"/>
            <w:vAlign w:val="bottom"/>
          </w:tcPr>
          <w:p w14:paraId="5D47A6C1" w14:textId="496AE525"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Atmos Energy Corporation</w:t>
            </w:r>
          </w:p>
        </w:tc>
        <w:tc>
          <w:tcPr>
            <w:tcW w:w="1049" w:type="dxa"/>
            <w:vAlign w:val="bottom"/>
          </w:tcPr>
          <w:p w14:paraId="20D50F62" w14:textId="440EBB4A" w:rsidR="001E7BFA"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5/18</w:t>
            </w:r>
          </w:p>
        </w:tc>
        <w:tc>
          <w:tcPr>
            <w:tcW w:w="2825" w:type="dxa"/>
            <w:vAlign w:val="bottom"/>
          </w:tcPr>
          <w:p w14:paraId="28BBF134" w14:textId="31F5A17C"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Atmos Energy Corporation</w:t>
            </w:r>
          </w:p>
        </w:tc>
        <w:tc>
          <w:tcPr>
            <w:tcW w:w="2250" w:type="dxa"/>
            <w:vAlign w:val="bottom"/>
          </w:tcPr>
          <w:p w14:paraId="4D21201F" w14:textId="7CEF068A"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PUR-2018-00014</w:t>
            </w:r>
          </w:p>
        </w:tc>
        <w:tc>
          <w:tcPr>
            <w:tcW w:w="2070" w:type="dxa"/>
            <w:vAlign w:val="bottom"/>
          </w:tcPr>
          <w:p w14:paraId="0ADA2300" w14:textId="3EADC8CA" w:rsidR="001E7BFA" w:rsidRDefault="001E7BFA"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5A94EFB3" w14:textId="77777777" w:rsidTr="00FD1718">
        <w:trPr>
          <w:trHeight w:val="274"/>
          <w:jc w:val="center"/>
        </w:trPr>
        <w:tc>
          <w:tcPr>
            <w:tcW w:w="2141" w:type="dxa"/>
            <w:vAlign w:val="bottom"/>
          </w:tcPr>
          <w:p w14:paraId="5CB8268E"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Aqua Virginia, Inc.</w:t>
            </w:r>
          </w:p>
        </w:tc>
        <w:tc>
          <w:tcPr>
            <w:tcW w:w="1049" w:type="dxa"/>
            <w:vAlign w:val="bottom"/>
          </w:tcPr>
          <w:p w14:paraId="1FABFEDD" w14:textId="77777777" w:rsidR="001E7BFA"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7/17</w:t>
            </w:r>
          </w:p>
        </w:tc>
        <w:tc>
          <w:tcPr>
            <w:tcW w:w="2825" w:type="dxa"/>
            <w:vAlign w:val="bottom"/>
          </w:tcPr>
          <w:p w14:paraId="245D1FA1"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Aqua Virginia, Inc.</w:t>
            </w:r>
          </w:p>
        </w:tc>
        <w:tc>
          <w:tcPr>
            <w:tcW w:w="2250" w:type="dxa"/>
            <w:vAlign w:val="bottom"/>
          </w:tcPr>
          <w:p w14:paraId="239337EF"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PUR-2017-00082</w:t>
            </w:r>
          </w:p>
        </w:tc>
        <w:tc>
          <w:tcPr>
            <w:tcW w:w="2070" w:type="dxa"/>
            <w:vAlign w:val="bottom"/>
          </w:tcPr>
          <w:p w14:paraId="61D59A7F" w14:textId="77777777" w:rsidR="001E7BFA" w:rsidRPr="00F3208D" w:rsidRDefault="001E7BFA" w:rsidP="001E7BFA">
            <w:pPr>
              <w:spacing w:before="20" w:after="20"/>
              <w:rPr>
                <w:rFonts w:ascii="Arial Narrow" w:hAnsi="Arial Narrow" w:cstheme="minorHAnsi"/>
                <w:sz w:val="20"/>
                <w:szCs w:val="20"/>
              </w:rPr>
            </w:pPr>
            <w:r>
              <w:rPr>
                <w:rFonts w:ascii="Arial Narrow" w:hAnsi="Arial Narrow" w:cstheme="minorHAnsi"/>
                <w:sz w:val="20"/>
                <w:szCs w:val="20"/>
              </w:rPr>
              <w:t>Rate of Return</w:t>
            </w:r>
          </w:p>
        </w:tc>
      </w:tr>
      <w:tr w:rsidR="001E7BFA" w:rsidRPr="00AC6309" w14:paraId="2D7694CF" w14:textId="77777777" w:rsidTr="00FD1718">
        <w:trPr>
          <w:trHeight w:val="503"/>
          <w:jc w:val="center"/>
        </w:trPr>
        <w:tc>
          <w:tcPr>
            <w:tcW w:w="2141" w:type="dxa"/>
            <w:vAlign w:val="bottom"/>
          </w:tcPr>
          <w:p w14:paraId="1EBC7FA5"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Massanutten Public Service Corp.</w:t>
            </w:r>
          </w:p>
        </w:tc>
        <w:tc>
          <w:tcPr>
            <w:tcW w:w="1049" w:type="dxa"/>
            <w:vAlign w:val="bottom"/>
          </w:tcPr>
          <w:p w14:paraId="407999B5" w14:textId="77777777" w:rsidR="001E7BFA" w:rsidRPr="00F3208D" w:rsidRDefault="001E7BFA" w:rsidP="001E7BFA">
            <w:pPr>
              <w:spacing w:before="20" w:after="20"/>
              <w:jc w:val="center"/>
              <w:rPr>
                <w:rFonts w:ascii="Arial Narrow" w:hAnsi="Arial Narrow" w:cstheme="minorHAnsi"/>
                <w:sz w:val="20"/>
                <w:szCs w:val="20"/>
              </w:rPr>
            </w:pPr>
            <w:r>
              <w:rPr>
                <w:rFonts w:ascii="Arial Narrow" w:hAnsi="Arial Narrow" w:cstheme="minorHAnsi"/>
                <w:sz w:val="20"/>
                <w:szCs w:val="20"/>
              </w:rPr>
              <w:t>0</w:t>
            </w:r>
            <w:r w:rsidRPr="00F3208D">
              <w:rPr>
                <w:rFonts w:ascii="Arial Narrow" w:hAnsi="Arial Narrow" w:cstheme="minorHAnsi"/>
                <w:sz w:val="20"/>
                <w:szCs w:val="20"/>
              </w:rPr>
              <w:t>8/14</w:t>
            </w:r>
          </w:p>
        </w:tc>
        <w:tc>
          <w:tcPr>
            <w:tcW w:w="2825" w:type="dxa"/>
            <w:vAlign w:val="bottom"/>
          </w:tcPr>
          <w:p w14:paraId="140A9A82"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Massanutten Public Service Corp.</w:t>
            </w:r>
          </w:p>
        </w:tc>
        <w:tc>
          <w:tcPr>
            <w:tcW w:w="2250" w:type="dxa"/>
            <w:vAlign w:val="bottom"/>
          </w:tcPr>
          <w:p w14:paraId="75D63A53"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PUE-2014-00035</w:t>
            </w:r>
          </w:p>
        </w:tc>
        <w:tc>
          <w:tcPr>
            <w:tcW w:w="2070" w:type="dxa"/>
            <w:vAlign w:val="bottom"/>
          </w:tcPr>
          <w:p w14:paraId="36887ED5" w14:textId="77777777" w:rsidR="001E7BFA" w:rsidRPr="00F3208D" w:rsidRDefault="001E7BFA" w:rsidP="001E7BFA">
            <w:pPr>
              <w:spacing w:before="20" w:after="20"/>
              <w:rPr>
                <w:rFonts w:ascii="Arial Narrow" w:hAnsi="Arial Narrow" w:cstheme="minorHAnsi"/>
                <w:sz w:val="20"/>
                <w:szCs w:val="20"/>
              </w:rPr>
            </w:pPr>
            <w:r w:rsidRPr="00F3208D">
              <w:rPr>
                <w:rFonts w:ascii="Arial Narrow" w:hAnsi="Arial Narrow" w:cstheme="minorHAnsi"/>
                <w:sz w:val="20"/>
                <w:szCs w:val="20"/>
              </w:rPr>
              <w:t>Rate of Return / Rate Design</w:t>
            </w:r>
          </w:p>
        </w:tc>
      </w:tr>
    </w:tbl>
    <w:p w14:paraId="3937A476" w14:textId="77777777" w:rsidR="007F3889" w:rsidRDefault="007F3889"/>
    <w:sectPr w:rsidR="007F3889" w:rsidSect="00FD17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F76E" w14:textId="77777777" w:rsidR="00ED69D1" w:rsidRDefault="00ED69D1" w:rsidP="00AF7329">
      <w:pPr>
        <w:spacing w:after="0" w:line="240" w:lineRule="auto"/>
      </w:pPr>
      <w:r>
        <w:separator/>
      </w:r>
    </w:p>
  </w:endnote>
  <w:endnote w:type="continuationSeparator" w:id="0">
    <w:p w14:paraId="3C169A67" w14:textId="77777777" w:rsidR="00ED69D1" w:rsidRDefault="00ED69D1" w:rsidP="00AF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B2650" w14:textId="77777777" w:rsidR="00ED69D1" w:rsidRDefault="00ED69D1" w:rsidP="00AF7329">
      <w:pPr>
        <w:spacing w:after="0" w:line="240" w:lineRule="auto"/>
      </w:pPr>
      <w:r>
        <w:separator/>
      </w:r>
    </w:p>
  </w:footnote>
  <w:footnote w:type="continuationSeparator" w:id="0">
    <w:p w14:paraId="5E52D0C8" w14:textId="77777777" w:rsidR="00ED69D1" w:rsidRDefault="00ED69D1" w:rsidP="00AF7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0D97" w14:textId="269E5697" w:rsidR="00AF7329" w:rsidRPr="00AF7329" w:rsidRDefault="00AF7329" w:rsidP="00AF7329">
    <w:pPr>
      <w:pStyle w:val="ResumeHeader"/>
      <w:rPr>
        <w:b/>
      </w:rPr>
    </w:pPr>
    <w:r w:rsidRPr="00AF7329">
      <w:rPr>
        <w:b/>
        <w:noProof/>
      </w:rPr>
      <w:drawing>
        <wp:anchor distT="0" distB="0" distL="114300" distR="114300" simplePos="0" relativeHeight="251659264" behindDoc="1" locked="0" layoutInCell="1" allowOverlap="1" wp14:anchorId="7E93775B" wp14:editId="7A56DD49">
          <wp:simplePos x="0" y="0"/>
          <wp:positionH relativeFrom="column">
            <wp:posOffset>16510</wp:posOffset>
          </wp:positionH>
          <wp:positionV relativeFrom="paragraph">
            <wp:posOffset>106045</wp:posOffset>
          </wp:positionV>
          <wp:extent cx="1391285" cy="596265"/>
          <wp:effectExtent l="0" t="0" r="0" b="0"/>
          <wp:wrapNone/>
          <wp:docPr id="25" name="Picture 0" descr="S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ogo.jpg"/>
                  <pic:cNvPicPr/>
                </pic:nvPicPr>
                <pic:blipFill>
                  <a:blip r:embed="rId1"/>
                  <a:stretch>
                    <a:fillRect/>
                  </a:stretch>
                </pic:blipFill>
                <pic:spPr>
                  <a:xfrm>
                    <a:off x="0" y="0"/>
                    <a:ext cx="1391285" cy="596265"/>
                  </a:xfrm>
                  <a:prstGeom prst="rect">
                    <a:avLst/>
                  </a:prstGeom>
                </pic:spPr>
              </pic:pic>
            </a:graphicData>
          </a:graphic>
        </wp:anchor>
      </w:drawing>
    </w:r>
  </w:p>
  <w:p w14:paraId="00F7430F" w14:textId="77777777" w:rsidR="00AF7329" w:rsidRDefault="00400619" w:rsidP="00EF0315">
    <w:pPr>
      <w:pStyle w:val="ResumeHeader"/>
      <w:rPr>
        <w:b/>
      </w:rPr>
    </w:pPr>
    <w:r>
      <w:rPr>
        <w:b/>
      </w:rPr>
      <w:t>Professional Qualifications of</w:t>
    </w:r>
  </w:p>
  <w:p w14:paraId="28D44AD3" w14:textId="77777777" w:rsidR="00400619" w:rsidRDefault="00400619" w:rsidP="00EF0315">
    <w:pPr>
      <w:pStyle w:val="ResumeHeader"/>
      <w:rPr>
        <w:b/>
      </w:rPr>
    </w:pPr>
    <w:r>
      <w:rPr>
        <w:b/>
      </w:rPr>
      <w:t>Dylan W. D’Ascendis, CRRA, CVA</w:t>
    </w:r>
  </w:p>
  <w:p w14:paraId="73475937" w14:textId="77777777" w:rsidR="00AF7329" w:rsidRPr="00EF0315" w:rsidRDefault="00AF7329" w:rsidP="00EF0315">
    <w:pPr>
      <w:pStyle w:val="Resume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D3ED" w14:textId="77777777" w:rsidR="00AF7329" w:rsidRPr="00AF7329" w:rsidRDefault="00AF7329" w:rsidP="00AF7329">
    <w:pPr>
      <w:pStyle w:val="ResumeHeader"/>
      <w:rPr>
        <w:b/>
      </w:rPr>
    </w:pPr>
    <w:r w:rsidRPr="00AF7329">
      <w:rPr>
        <w:b/>
        <w:noProof/>
      </w:rPr>
      <w:drawing>
        <wp:anchor distT="0" distB="0" distL="114300" distR="114300" simplePos="0" relativeHeight="251661312" behindDoc="1" locked="0" layoutInCell="1" allowOverlap="1" wp14:anchorId="717423D7" wp14:editId="0F8FE5B8">
          <wp:simplePos x="0" y="0"/>
          <wp:positionH relativeFrom="column">
            <wp:posOffset>16510</wp:posOffset>
          </wp:positionH>
          <wp:positionV relativeFrom="paragraph">
            <wp:posOffset>106045</wp:posOffset>
          </wp:positionV>
          <wp:extent cx="1391285" cy="596265"/>
          <wp:effectExtent l="0" t="0" r="0" b="0"/>
          <wp:wrapNone/>
          <wp:docPr id="7" name="Picture 0" descr="S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ogo.jpg"/>
                  <pic:cNvPicPr/>
                </pic:nvPicPr>
                <pic:blipFill>
                  <a:blip r:embed="rId1"/>
                  <a:stretch>
                    <a:fillRect/>
                  </a:stretch>
                </pic:blipFill>
                <pic:spPr>
                  <a:xfrm>
                    <a:off x="0" y="0"/>
                    <a:ext cx="1391285" cy="596265"/>
                  </a:xfrm>
                  <a:prstGeom prst="rect">
                    <a:avLst/>
                  </a:prstGeom>
                </pic:spPr>
              </pic:pic>
            </a:graphicData>
          </a:graphic>
        </wp:anchor>
      </w:drawing>
    </w:r>
    <w:r w:rsidR="00400619">
      <w:rPr>
        <w:b/>
        <w:noProof/>
      </w:rPr>
      <w:t>Attachment A</w:t>
    </w:r>
  </w:p>
  <w:p w14:paraId="3A49EAA3" w14:textId="77777777" w:rsidR="00AF7329" w:rsidRDefault="00400619" w:rsidP="00AF7329">
    <w:pPr>
      <w:pStyle w:val="ResumeHeader"/>
      <w:rPr>
        <w:b/>
      </w:rPr>
    </w:pPr>
    <w:r>
      <w:rPr>
        <w:b/>
      </w:rPr>
      <w:t xml:space="preserve">Professional Qualifications of </w:t>
    </w:r>
  </w:p>
  <w:p w14:paraId="40BB4A41" w14:textId="77777777" w:rsidR="00AF7329" w:rsidRDefault="00400619" w:rsidP="00AF7329">
    <w:pPr>
      <w:pStyle w:val="ResumeHeader"/>
      <w:rPr>
        <w:b/>
      </w:rPr>
    </w:pPr>
    <w:r>
      <w:rPr>
        <w:b/>
      </w:rPr>
      <w:t>Dylan W. D’Ascendis, CRRA, CVA</w:t>
    </w:r>
  </w:p>
  <w:p w14:paraId="6C1C6DB0" w14:textId="77777777" w:rsidR="00AF7329" w:rsidRDefault="00AF7329" w:rsidP="00AF7329">
    <w:pPr>
      <w:pStyle w:val="Header"/>
    </w:pPr>
  </w:p>
  <w:p w14:paraId="19A8DD1F" w14:textId="77777777" w:rsidR="00AF7329" w:rsidRPr="00AF7329" w:rsidRDefault="00AF7329" w:rsidP="00AF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55C0"/>
    <w:multiLevelType w:val="hybridMultilevel"/>
    <w:tmpl w:val="2230F3EA"/>
    <w:lvl w:ilvl="0" w:tplc="12081D62">
      <w:start w:val="1"/>
      <w:numFmt w:val="bullet"/>
      <w:pStyle w:val="Level1Bullet"/>
      <w:lvlText w:val="n"/>
      <w:lvlJc w:val="left"/>
      <w:pPr>
        <w:ind w:left="720" w:hanging="360"/>
      </w:pPr>
      <w:rPr>
        <w:rFonts w:ascii="Wingdings" w:hAnsi="Wingdings" w:hint="default"/>
        <w:color w:val="26BCD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12A7B"/>
    <w:multiLevelType w:val="hybridMultilevel"/>
    <w:tmpl w:val="5C14DB38"/>
    <w:lvl w:ilvl="0" w:tplc="6DC2048C">
      <w:start w:val="1"/>
      <w:numFmt w:val="bullet"/>
      <w:lvlText w:val=""/>
      <w:lvlJc w:val="left"/>
      <w:pPr>
        <w:ind w:left="720" w:hanging="360"/>
      </w:pPr>
      <w:rPr>
        <w:rFonts w:ascii="Wingdings" w:hAnsi="Wingdings" w:hint="default"/>
        <w:color w:val="00CCF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F620A"/>
    <w:multiLevelType w:val="hybridMultilevel"/>
    <w:tmpl w:val="44AE3610"/>
    <w:lvl w:ilvl="0" w:tplc="895629F6">
      <w:start w:val="1"/>
      <w:numFmt w:val="bullet"/>
      <w:lvlText w:val=""/>
      <w:lvlJc w:val="left"/>
      <w:pPr>
        <w:tabs>
          <w:tab w:val="num" w:pos="360"/>
        </w:tabs>
        <w:ind w:left="360" w:hanging="360"/>
      </w:pPr>
      <w:rPr>
        <w:rFonts w:ascii="Wingdings" w:hAnsi="Wingdings" w:hint="default"/>
        <w:color w:val="5B9BD5" w:themeColor="accent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29"/>
    <w:rsid w:val="000272EE"/>
    <w:rsid w:val="0006319E"/>
    <w:rsid w:val="000D1085"/>
    <w:rsid w:val="000E0A36"/>
    <w:rsid w:val="00132BA4"/>
    <w:rsid w:val="00162071"/>
    <w:rsid w:val="00175F66"/>
    <w:rsid w:val="001A5771"/>
    <w:rsid w:val="001C3F2C"/>
    <w:rsid w:val="001D2DDC"/>
    <w:rsid w:val="001E6655"/>
    <w:rsid w:val="001E7BFA"/>
    <w:rsid w:val="001F2B8F"/>
    <w:rsid w:val="002C25D0"/>
    <w:rsid w:val="002D06AB"/>
    <w:rsid w:val="003008A0"/>
    <w:rsid w:val="003042F7"/>
    <w:rsid w:val="00334CFA"/>
    <w:rsid w:val="00342E88"/>
    <w:rsid w:val="00361C4B"/>
    <w:rsid w:val="00370332"/>
    <w:rsid w:val="00382FE2"/>
    <w:rsid w:val="003C0410"/>
    <w:rsid w:val="00400619"/>
    <w:rsid w:val="00463CCD"/>
    <w:rsid w:val="004D101D"/>
    <w:rsid w:val="004E005E"/>
    <w:rsid w:val="00517D3F"/>
    <w:rsid w:val="00540B84"/>
    <w:rsid w:val="00567F26"/>
    <w:rsid w:val="00574339"/>
    <w:rsid w:val="00691E55"/>
    <w:rsid w:val="006C14BC"/>
    <w:rsid w:val="007D0CB1"/>
    <w:rsid w:val="007F3889"/>
    <w:rsid w:val="008539CC"/>
    <w:rsid w:val="008578BE"/>
    <w:rsid w:val="00882953"/>
    <w:rsid w:val="008905B9"/>
    <w:rsid w:val="008E15FC"/>
    <w:rsid w:val="00937B6D"/>
    <w:rsid w:val="009401E7"/>
    <w:rsid w:val="009836EB"/>
    <w:rsid w:val="009B535C"/>
    <w:rsid w:val="009C04F8"/>
    <w:rsid w:val="009C21F4"/>
    <w:rsid w:val="009F5A27"/>
    <w:rsid w:val="00A00547"/>
    <w:rsid w:val="00A17DDB"/>
    <w:rsid w:val="00A26777"/>
    <w:rsid w:val="00A418F8"/>
    <w:rsid w:val="00A80A57"/>
    <w:rsid w:val="00AD651A"/>
    <w:rsid w:val="00AF7329"/>
    <w:rsid w:val="00B15E86"/>
    <w:rsid w:val="00B441DA"/>
    <w:rsid w:val="00B502AC"/>
    <w:rsid w:val="00C04643"/>
    <w:rsid w:val="00C47BBB"/>
    <w:rsid w:val="00C624CF"/>
    <w:rsid w:val="00C6322C"/>
    <w:rsid w:val="00C9349D"/>
    <w:rsid w:val="00CA0326"/>
    <w:rsid w:val="00CB393F"/>
    <w:rsid w:val="00CF67BA"/>
    <w:rsid w:val="00D52D99"/>
    <w:rsid w:val="00D647EB"/>
    <w:rsid w:val="00DA3929"/>
    <w:rsid w:val="00DB13D9"/>
    <w:rsid w:val="00DF6B7B"/>
    <w:rsid w:val="00E72619"/>
    <w:rsid w:val="00EB5251"/>
    <w:rsid w:val="00EC2480"/>
    <w:rsid w:val="00ED69D1"/>
    <w:rsid w:val="00EE31CD"/>
    <w:rsid w:val="00EF7BE0"/>
    <w:rsid w:val="00F237D7"/>
    <w:rsid w:val="00F303C9"/>
    <w:rsid w:val="00F4614B"/>
    <w:rsid w:val="00F4767B"/>
    <w:rsid w:val="00F6625D"/>
    <w:rsid w:val="00FB2F38"/>
    <w:rsid w:val="00FB599B"/>
    <w:rsid w:val="00FD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B2C4"/>
  <w15:chartTrackingRefBased/>
  <w15:docId w15:val="{0FC978D1-24FC-45D3-9641-2F6F87DE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71"/>
  </w:style>
  <w:style w:type="paragraph" w:styleId="Heading1">
    <w:name w:val="heading 1"/>
    <w:basedOn w:val="Normal"/>
    <w:next w:val="Normal"/>
    <w:link w:val="Heading1Char"/>
    <w:uiPriority w:val="9"/>
    <w:qFormat/>
    <w:rsid w:val="0016207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16207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16207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6207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6207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6207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6207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16207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16207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07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16207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16207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6207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6207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6207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6207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6207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6207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620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6207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6207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16207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62071"/>
    <w:rPr>
      <w:caps/>
      <w:color w:val="404040" w:themeColor="text1" w:themeTint="BF"/>
      <w:spacing w:val="20"/>
      <w:sz w:val="28"/>
      <w:szCs w:val="28"/>
    </w:rPr>
  </w:style>
  <w:style w:type="character" w:styleId="Strong">
    <w:name w:val="Strong"/>
    <w:basedOn w:val="DefaultParagraphFont"/>
    <w:uiPriority w:val="22"/>
    <w:qFormat/>
    <w:rsid w:val="00162071"/>
    <w:rPr>
      <w:b/>
      <w:bCs/>
    </w:rPr>
  </w:style>
  <w:style w:type="character" w:styleId="Emphasis">
    <w:name w:val="Emphasis"/>
    <w:basedOn w:val="DefaultParagraphFont"/>
    <w:uiPriority w:val="20"/>
    <w:qFormat/>
    <w:rsid w:val="00162071"/>
    <w:rPr>
      <w:i/>
      <w:iCs/>
      <w:color w:val="000000" w:themeColor="text1"/>
    </w:rPr>
  </w:style>
  <w:style w:type="paragraph" w:styleId="NoSpacing">
    <w:name w:val="No Spacing"/>
    <w:uiPriority w:val="1"/>
    <w:qFormat/>
    <w:rsid w:val="00162071"/>
    <w:pPr>
      <w:spacing w:after="0" w:line="240" w:lineRule="auto"/>
    </w:pPr>
  </w:style>
  <w:style w:type="paragraph" w:styleId="Quote">
    <w:name w:val="Quote"/>
    <w:basedOn w:val="Normal"/>
    <w:next w:val="Normal"/>
    <w:link w:val="QuoteChar"/>
    <w:uiPriority w:val="29"/>
    <w:qFormat/>
    <w:rsid w:val="0016207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6207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6207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6207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62071"/>
    <w:rPr>
      <w:i/>
      <w:iCs/>
      <w:color w:val="595959" w:themeColor="text1" w:themeTint="A6"/>
    </w:rPr>
  </w:style>
  <w:style w:type="character" w:styleId="IntenseEmphasis">
    <w:name w:val="Intense Emphasis"/>
    <w:basedOn w:val="DefaultParagraphFont"/>
    <w:uiPriority w:val="21"/>
    <w:qFormat/>
    <w:rsid w:val="00162071"/>
    <w:rPr>
      <w:b/>
      <w:bCs/>
      <w:i/>
      <w:iCs/>
      <w:caps w:val="0"/>
      <w:smallCaps w:val="0"/>
      <w:strike w:val="0"/>
      <w:dstrike w:val="0"/>
      <w:color w:val="ED7D31" w:themeColor="accent2"/>
    </w:rPr>
  </w:style>
  <w:style w:type="character" w:styleId="SubtleReference">
    <w:name w:val="Subtle Reference"/>
    <w:basedOn w:val="DefaultParagraphFont"/>
    <w:uiPriority w:val="31"/>
    <w:qFormat/>
    <w:rsid w:val="001620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62071"/>
    <w:rPr>
      <w:b/>
      <w:bCs/>
      <w:caps w:val="0"/>
      <w:smallCaps/>
      <w:color w:val="auto"/>
      <w:spacing w:val="0"/>
      <w:u w:val="single"/>
    </w:rPr>
  </w:style>
  <w:style w:type="character" w:styleId="BookTitle">
    <w:name w:val="Book Title"/>
    <w:basedOn w:val="DefaultParagraphFont"/>
    <w:uiPriority w:val="33"/>
    <w:qFormat/>
    <w:rsid w:val="00162071"/>
    <w:rPr>
      <w:b/>
      <w:bCs/>
      <w:caps w:val="0"/>
      <w:smallCaps/>
      <w:spacing w:val="0"/>
    </w:rPr>
  </w:style>
  <w:style w:type="paragraph" w:styleId="TOCHeading">
    <w:name w:val="TOC Heading"/>
    <w:basedOn w:val="Heading1"/>
    <w:next w:val="Normal"/>
    <w:uiPriority w:val="39"/>
    <w:semiHidden/>
    <w:unhideWhenUsed/>
    <w:qFormat/>
    <w:rsid w:val="00162071"/>
    <w:pPr>
      <w:outlineLvl w:val="9"/>
    </w:pPr>
  </w:style>
  <w:style w:type="table" w:styleId="TableGrid">
    <w:name w:val="Table Grid"/>
    <w:basedOn w:val="TableNormal"/>
    <w:uiPriority w:val="39"/>
    <w:rsid w:val="00AF7329"/>
    <w:pPr>
      <w:spacing w:after="0" w:line="240" w:lineRule="auto"/>
    </w:pPr>
    <w:rPr>
      <w:rFonts w:ascii="Arial" w:eastAsia="Times New Roman"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Header">
    <w:name w:val="Resume Header"/>
    <w:autoRedefine/>
    <w:rsid w:val="00AF7329"/>
    <w:pPr>
      <w:spacing w:after="0" w:line="240" w:lineRule="auto"/>
      <w:jc w:val="right"/>
    </w:pPr>
    <w:rPr>
      <w:rFonts w:ascii="Arial Narrow" w:eastAsia="Times New Roman" w:hAnsi="Arial Narrow" w:cs="Times New Roman"/>
      <w:sz w:val="28"/>
      <w:szCs w:val="24"/>
    </w:rPr>
  </w:style>
  <w:style w:type="table" w:customStyle="1" w:styleId="TableGrid4">
    <w:name w:val="Table Grid4"/>
    <w:basedOn w:val="TableNormal"/>
    <w:next w:val="TableGrid"/>
    <w:uiPriority w:val="39"/>
    <w:rsid w:val="00AF7329"/>
    <w:pPr>
      <w:widowControl w:val="0"/>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329"/>
  </w:style>
  <w:style w:type="paragraph" w:styleId="Footer">
    <w:name w:val="footer"/>
    <w:basedOn w:val="Normal"/>
    <w:link w:val="FooterChar"/>
    <w:uiPriority w:val="99"/>
    <w:unhideWhenUsed/>
    <w:rsid w:val="00AF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329"/>
  </w:style>
  <w:style w:type="paragraph" w:customStyle="1" w:styleId="Level1Bullet">
    <w:name w:val="Level 1 Bullet"/>
    <w:basedOn w:val="Normal"/>
    <w:next w:val="Normal"/>
    <w:link w:val="Level1BulletChar"/>
    <w:qFormat/>
    <w:rsid w:val="00AF7329"/>
    <w:pPr>
      <w:numPr>
        <w:numId w:val="10"/>
      </w:numPr>
      <w:spacing w:after="0" w:line="240" w:lineRule="auto"/>
      <w:ind w:left="360"/>
    </w:pPr>
    <w:rPr>
      <w:rFonts w:ascii="Arial" w:eastAsia="Times New Roman" w:hAnsi="Arial" w:cs="Arial"/>
      <w:sz w:val="20"/>
      <w:szCs w:val="20"/>
    </w:rPr>
  </w:style>
  <w:style w:type="character" w:customStyle="1" w:styleId="Level1BulletChar">
    <w:name w:val="Level 1 Bullet Char"/>
    <w:basedOn w:val="DefaultParagraphFont"/>
    <w:link w:val="Level1Bullet"/>
    <w:rsid w:val="00AF732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Karg</dc:creator>
  <cp:keywords/>
  <dc:description/>
  <cp:lastModifiedBy>Dylan D'Ascendis</cp:lastModifiedBy>
  <cp:revision>3</cp:revision>
  <dcterms:created xsi:type="dcterms:W3CDTF">2019-03-27T19:11:00Z</dcterms:created>
  <dcterms:modified xsi:type="dcterms:W3CDTF">2019-03-27T19:13:00Z</dcterms:modified>
</cp:coreProperties>
</file>